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ind w:firstLine="567" w:end="0"/>
        <w:jc w:val="center"/>
        <w:rPr>
          <w:b/>
          <w:sz w:val="24"/>
          <w:szCs w:val="24"/>
        </w:rPr>
      </w:pPr>
      <w:r>
        <w:rPr>
          <w:b/>
          <w:sz w:val="24"/>
          <w:szCs w:val="24"/>
        </w:rPr>
        <w:t>Пояснения к бухгалтерскому балансу и отчету о финансовых результатах</w:t>
      </w:r>
    </w:p>
    <w:p>
      <w:pPr>
        <w:pStyle w:val="Normal"/>
        <w:ind w:firstLine="567" w:end="0"/>
        <w:jc w:val="center"/>
        <w:rPr>
          <w:b/>
          <w:sz w:val="24"/>
          <w:szCs w:val="24"/>
        </w:rPr>
      </w:pPr>
      <w:r>
        <w:rPr>
          <w:b/>
          <w:sz w:val="24"/>
          <w:szCs w:val="24"/>
        </w:rPr>
        <w:t>ОАО "Йошкар-Олинская  кондитерская фабрика" за 2025 год.</w:t>
      </w:r>
    </w:p>
    <w:p>
      <w:pPr>
        <w:pStyle w:val="Normal"/>
        <w:ind w:firstLine="567" w:end="0"/>
        <w:jc w:val="both"/>
        <w:rPr>
          <w:b/>
          <w:sz w:val="24"/>
          <w:szCs w:val="24"/>
        </w:rPr>
      </w:pPr>
      <w:r>
        <w:rPr>
          <w:b/>
          <w:sz w:val="24"/>
          <w:szCs w:val="24"/>
        </w:rPr>
      </w:r>
    </w:p>
    <w:p>
      <w:pPr>
        <w:pStyle w:val="BodyText"/>
        <w:ind w:start="360" w:end="0"/>
        <w:jc w:val="center"/>
        <w:rPr>
          <w:sz w:val="24"/>
          <w:szCs w:val="24"/>
        </w:rPr>
      </w:pPr>
      <w:r>
        <w:rPr>
          <w:b/>
          <w:bCs/>
          <w:sz w:val="24"/>
          <w:szCs w:val="24"/>
        </w:rPr>
        <w:t>Общие сведения</w:t>
      </w:r>
    </w:p>
    <w:p>
      <w:pPr>
        <w:pStyle w:val="BodyText"/>
        <w:ind w:firstLine="708" w:end="0"/>
        <w:jc w:val="both"/>
        <w:rPr>
          <w:sz w:val="24"/>
          <w:szCs w:val="24"/>
        </w:rPr>
      </w:pPr>
      <w:r>
        <w:rPr>
          <w:sz w:val="24"/>
          <w:szCs w:val="24"/>
        </w:rPr>
        <w:t xml:space="preserve">Полное фирменное наименование: </w:t>
      </w:r>
    </w:p>
    <w:p>
      <w:pPr>
        <w:pStyle w:val="BodyText"/>
        <w:ind w:firstLine="708" w:end="0"/>
        <w:jc w:val="both"/>
        <w:rPr/>
      </w:pPr>
      <w:r>
        <w:rPr>
          <w:sz w:val="24"/>
          <w:szCs w:val="24"/>
        </w:rPr>
        <w:t>Открытое акционерное общество «</w:t>
      </w:r>
      <w:r>
        <w:rPr>
          <w:sz w:val="24"/>
          <w:szCs w:val="24"/>
          <w:lang w:val="ru-RU"/>
        </w:rPr>
        <w:t xml:space="preserve">Йошкар-Олинская </w:t>
      </w:r>
      <w:r>
        <w:rPr>
          <w:sz w:val="24"/>
          <w:szCs w:val="24"/>
        </w:rPr>
        <w:t xml:space="preserve">кондитерская фабрика». </w:t>
      </w:r>
    </w:p>
    <w:p>
      <w:pPr>
        <w:pStyle w:val="BodyText"/>
        <w:ind w:firstLine="708" w:end="0"/>
        <w:jc w:val="both"/>
        <w:rPr/>
      </w:pPr>
      <w:r>
        <w:rPr>
          <w:sz w:val="24"/>
          <w:szCs w:val="24"/>
        </w:rPr>
        <w:t>Сокращенное фирменное наименование: ОАО «</w:t>
      </w:r>
      <w:r>
        <w:rPr>
          <w:sz w:val="24"/>
          <w:szCs w:val="24"/>
          <w:lang w:val="ru-RU"/>
        </w:rPr>
        <w:t xml:space="preserve">Йошкар-Олинская </w:t>
      </w:r>
      <w:r>
        <w:rPr>
          <w:sz w:val="24"/>
          <w:szCs w:val="24"/>
        </w:rPr>
        <w:t xml:space="preserve">кондитерская фабрика». </w:t>
      </w:r>
    </w:p>
    <w:p>
      <w:pPr>
        <w:pStyle w:val="BodyText"/>
        <w:ind w:firstLine="708" w:end="0"/>
        <w:jc w:val="both"/>
        <w:rPr>
          <w:sz w:val="24"/>
          <w:szCs w:val="24"/>
        </w:rPr>
      </w:pPr>
      <w:r>
        <w:rPr>
          <w:sz w:val="24"/>
          <w:szCs w:val="24"/>
        </w:rPr>
        <w:t xml:space="preserve">Место нахождения: </w:t>
      </w:r>
      <w:r>
        <w:rPr>
          <w:sz w:val="24"/>
          <w:szCs w:val="24"/>
          <w:lang w:val="ru-RU"/>
        </w:rPr>
        <w:t>Марий Эл Респ., г. Йошкар-Ола, ул. Якова Эшпая, дом 136</w:t>
      </w:r>
    </w:p>
    <w:p>
      <w:pPr>
        <w:pStyle w:val="Normal"/>
        <w:autoSpaceDE w:val="false"/>
        <w:ind w:firstLine="709" w:end="0"/>
        <w:jc w:val="both"/>
        <w:rPr>
          <w:sz w:val="24"/>
          <w:szCs w:val="24"/>
        </w:rPr>
      </w:pPr>
      <w:r>
        <w:rPr>
          <w:sz w:val="24"/>
          <w:szCs w:val="24"/>
        </w:rPr>
        <w:t>Единица измерения: тыс. руб.</w:t>
      </w:r>
    </w:p>
    <w:p>
      <w:pPr>
        <w:pStyle w:val="BodyText"/>
        <w:ind w:firstLine="360" w:end="0"/>
        <w:jc w:val="both"/>
        <w:rPr/>
      </w:pPr>
      <w:r>
        <w:rPr>
          <w:sz w:val="24"/>
          <w:szCs w:val="24"/>
        </w:rPr>
        <w:t xml:space="preserve">    </w:t>
      </w:r>
      <w:r>
        <w:rPr>
          <w:sz w:val="24"/>
          <w:szCs w:val="24"/>
        </w:rPr>
        <w:t xml:space="preserve">Полномочия единоличного исполнительного органа переданы Управляющей организации Обществу с ограниченной ответственностью «Объединенные кондитеры», </w:t>
      </w:r>
      <w:r>
        <w:rPr>
          <w:sz w:val="24"/>
          <w:szCs w:val="24"/>
          <w:lang w:val="ru-RU"/>
        </w:rPr>
        <w:t>г</w:t>
      </w:r>
      <w:r>
        <w:rPr>
          <w:sz w:val="24"/>
          <w:szCs w:val="24"/>
        </w:rPr>
        <w:t xml:space="preserve">енеральный директор Андрюшкин Дмитрий Александрович. </w:t>
      </w:r>
    </w:p>
    <w:p>
      <w:pPr>
        <w:pStyle w:val="Normal"/>
        <w:autoSpaceDE w:val="false"/>
        <w:ind w:firstLine="709" w:end="0"/>
        <w:jc w:val="both"/>
        <w:rPr>
          <w:sz w:val="24"/>
          <w:szCs w:val="24"/>
        </w:rPr>
      </w:pPr>
      <w:r>
        <w:rPr>
          <w:sz w:val="24"/>
          <w:szCs w:val="24"/>
        </w:rPr>
        <w:t>Состав ревизионной комиссии Общества, избранной годовым общим собранием акционеров 22.04.2025 г.:</w:t>
      </w:r>
    </w:p>
    <w:p>
      <w:pPr>
        <w:pStyle w:val="Normal"/>
        <w:numPr>
          <w:ilvl w:val="0"/>
          <w:numId w:val="4"/>
        </w:numPr>
        <w:autoSpaceDE w:val="false"/>
        <w:ind w:firstLine="709" w:start="0" w:end="0"/>
        <w:jc w:val="both"/>
        <w:rPr>
          <w:sz w:val="24"/>
          <w:szCs w:val="24"/>
        </w:rPr>
      </w:pPr>
      <w:r>
        <w:rPr>
          <w:sz w:val="24"/>
          <w:szCs w:val="24"/>
        </w:rPr>
        <w:t>Иванов А.В.</w:t>
      </w:r>
    </w:p>
    <w:p>
      <w:pPr>
        <w:pStyle w:val="Normal"/>
        <w:numPr>
          <w:ilvl w:val="0"/>
          <w:numId w:val="4"/>
        </w:numPr>
        <w:autoSpaceDE w:val="false"/>
        <w:ind w:firstLine="709" w:start="0" w:end="0"/>
        <w:jc w:val="both"/>
        <w:rPr>
          <w:sz w:val="24"/>
          <w:szCs w:val="24"/>
        </w:rPr>
      </w:pPr>
      <w:r>
        <w:rPr>
          <w:sz w:val="24"/>
          <w:szCs w:val="24"/>
        </w:rPr>
        <w:t>Глабова Е.В.</w:t>
      </w:r>
    </w:p>
    <w:p>
      <w:pPr>
        <w:pStyle w:val="Normal"/>
        <w:numPr>
          <w:ilvl w:val="0"/>
          <w:numId w:val="4"/>
        </w:numPr>
        <w:autoSpaceDE w:val="false"/>
        <w:ind w:firstLine="709" w:start="0" w:end="0"/>
        <w:jc w:val="both"/>
        <w:rPr>
          <w:sz w:val="22"/>
          <w:szCs w:val="22"/>
        </w:rPr>
      </w:pPr>
      <w:r>
        <w:rPr>
          <w:sz w:val="24"/>
          <w:szCs w:val="24"/>
        </w:rPr>
        <w:t>Остапенко С.И.</w:t>
      </w:r>
    </w:p>
    <w:p>
      <w:pPr>
        <w:pStyle w:val="Header"/>
        <w:ind w:firstLine="709" w:end="0"/>
        <w:jc w:val="both"/>
        <w:rPr>
          <w:sz w:val="24"/>
          <w:szCs w:val="24"/>
        </w:rPr>
      </w:pPr>
      <w:r>
        <w:rPr>
          <w:sz w:val="22"/>
          <w:szCs w:val="22"/>
        </w:rPr>
        <w:tab/>
      </w:r>
      <w:r>
        <w:rPr>
          <w:sz w:val="24"/>
          <w:szCs w:val="24"/>
        </w:rPr>
        <w:t>Уставный капитал полностью оплачен и состоит из</w:t>
      </w:r>
      <w:r>
        <w:rPr>
          <w:sz w:val="24"/>
          <w:szCs w:val="24"/>
          <w:lang w:val="ru-RU"/>
        </w:rPr>
        <w:t xml:space="preserve"> </w:t>
      </w:r>
      <w:r>
        <w:rPr>
          <w:sz w:val="24"/>
          <w:szCs w:val="24"/>
        </w:rPr>
        <w:t xml:space="preserve">обыкновенных </w:t>
      </w:r>
      <w:r>
        <w:rPr>
          <w:sz w:val="24"/>
          <w:szCs w:val="24"/>
          <w:lang w:val="ru-RU"/>
        </w:rPr>
        <w:t xml:space="preserve">130 000 </w:t>
      </w:r>
      <w:r>
        <w:rPr>
          <w:sz w:val="24"/>
          <w:szCs w:val="24"/>
        </w:rPr>
        <w:t>именных акций номинальной стоимостью по 1 руб.</w:t>
      </w:r>
      <w:r>
        <w:rPr>
          <w:sz w:val="24"/>
          <w:szCs w:val="24"/>
          <w:lang w:val="ru-RU"/>
        </w:rPr>
        <w:t xml:space="preserve"> </w:t>
      </w:r>
    </w:p>
    <w:p>
      <w:pPr>
        <w:pStyle w:val="Normal"/>
        <w:autoSpaceDE w:val="false"/>
        <w:ind w:firstLine="709" w:end="0"/>
        <w:jc w:val="both"/>
        <w:rPr>
          <w:color w:val="FF0000"/>
          <w:sz w:val="24"/>
          <w:szCs w:val="24"/>
        </w:rPr>
      </w:pPr>
      <w:r>
        <w:rPr>
          <w:sz w:val="24"/>
          <w:szCs w:val="24"/>
        </w:rPr>
        <w:t>Среднегодовая численность</w:t>
      </w:r>
      <w:r>
        <w:rPr>
          <w:b/>
          <w:sz w:val="24"/>
          <w:szCs w:val="24"/>
        </w:rPr>
        <w:t xml:space="preserve"> </w:t>
      </w:r>
      <w:r>
        <w:rPr>
          <w:sz w:val="24"/>
          <w:szCs w:val="24"/>
        </w:rPr>
        <w:t>работающих за 2025 г. 390 чел. (за 2024 г. – 332 чел.).</w:t>
      </w:r>
    </w:p>
    <w:p>
      <w:pPr>
        <w:pStyle w:val="Header"/>
        <w:ind w:firstLine="709" w:end="0"/>
        <w:jc w:val="both"/>
        <w:rPr>
          <w:color w:val="FF0000"/>
          <w:sz w:val="24"/>
          <w:szCs w:val="24"/>
          <w:lang w:val="ru-RU"/>
        </w:rPr>
      </w:pPr>
      <w:r>
        <w:rPr>
          <w:color w:val="FF0000"/>
          <w:sz w:val="24"/>
          <w:szCs w:val="24"/>
          <w:lang w:val="ru-RU"/>
        </w:rPr>
      </w:r>
    </w:p>
    <w:p>
      <w:pPr>
        <w:pStyle w:val="Normal"/>
        <w:suppressAutoHyphens w:val="false"/>
        <w:spacing w:before="0" w:after="0"/>
        <w:contextualSpacing/>
        <w:jc w:val="center"/>
        <w:rPr>
          <w:b/>
          <w:sz w:val="24"/>
          <w:szCs w:val="24"/>
          <w:lang w:eastAsia="ru-RU"/>
        </w:rPr>
      </w:pPr>
      <w:r>
        <w:rPr>
          <w:b/>
          <w:sz w:val="24"/>
          <w:szCs w:val="24"/>
          <w:lang w:eastAsia="ru-RU"/>
        </w:rPr>
        <w:t xml:space="preserve">1 Основные виды экономической деятельности </w:t>
      </w:r>
    </w:p>
    <w:p>
      <w:pPr>
        <w:pStyle w:val="Normal"/>
        <w:suppressAutoHyphens w:val="false"/>
        <w:spacing w:before="0" w:after="0"/>
        <w:ind w:start="927" w:end="0"/>
        <w:contextualSpacing/>
        <w:jc w:val="both"/>
        <w:rPr>
          <w:b/>
          <w:sz w:val="24"/>
          <w:szCs w:val="24"/>
          <w:lang w:eastAsia="ru-RU"/>
        </w:rPr>
      </w:pPr>
      <w:r>
        <w:rPr>
          <w:b/>
          <w:sz w:val="24"/>
          <w:szCs w:val="24"/>
          <w:lang w:eastAsia="ru-RU"/>
        </w:rPr>
      </w:r>
    </w:p>
    <w:p>
      <w:pPr>
        <w:pStyle w:val="Normal"/>
        <w:suppressAutoHyphens w:val="false"/>
        <w:ind w:firstLine="708" w:end="0"/>
        <w:jc w:val="both"/>
        <w:rPr>
          <w:sz w:val="24"/>
          <w:szCs w:val="24"/>
          <w:lang w:eastAsia="ru-RU"/>
        </w:rPr>
      </w:pPr>
      <w:r>
        <w:rPr>
          <w:sz w:val="24"/>
          <w:szCs w:val="24"/>
          <w:lang w:eastAsia="ru-RU"/>
        </w:rPr>
        <w:t>Видами деятельности  Общества являются:</w:t>
      </w:r>
    </w:p>
    <w:p>
      <w:pPr>
        <w:pStyle w:val="Normal"/>
        <w:suppressAutoHyphens w:val="false"/>
        <w:ind w:firstLine="567" w:end="0"/>
        <w:jc w:val="both"/>
        <w:rPr>
          <w:sz w:val="24"/>
          <w:szCs w:val="24"/>
          <w:lang w:eastAsia="ru-RU"/>
        </w:rPr>
      </w:pPr>
      <w:r>
        <w:rPr>
          <w:sz w:val="24"/>
          <w:szCs w:val="24"/>
          <w:lang w:eastAsia="ru-RU"/>
        </w:rPr>
        <w:t>-</w:t>
        <w:tab/>
        <w:t xml:space="preserve"> производство  и реализация  кондитерских изделий и  их  полуфабрикатов. </w:t>
      </w:r>
    </w:p>
    <w:p>
      <w:pPr>
        <w:pStyle w:val="Normal"/>
        <w:suppressAutoHyphens w:val="false"/>
        <w:jc w:val="both"/>
        <w:rPr>
          <w:sz w:val="24"/>
          <w:szCs w:val="24"/>
          <w:lang w:eastAsia="ru-RU"/>
        </w:rPr>
      </w:pPr>
      <w:r>
        <w:rPr>
          <w:sz w:val="24"/>
          <w:szCs w:val="24"/>
          <w:lang w:eastAsia="ru-RU"/>
        </w:rPr>
        <w:t>реализация работ, услуг вспомогательных производств;</w:t>
      </w:r>
    </w:p>
    <w:p>
      <w:pPr>
        <w:pStyle w:val="Normal"/>
        <w:suppressAutoHyphens w:val="false"/>
        <w:jc w:val="both"/>
        <w:rPr>
          <w:sz w:val="24"/>
          <w:szCs w:val="24"/>
          <w:lang w:eastAsia="ru-RU"/>
        </w:rPr>
      </w:pPr>
      <w:r>
        <w:rPr>
          <w:sz w:val="24"/>
          <w:szCs w:val="24"/>
          <w:lang w:eastAsia="ru-RU"/>
        </w:rPr>
        <w:t xml:space="preserve">      </w:t>
      </w:r>
      <w:r>
        <w:rPr>
          <w:sz w:val="24"/>
          <w:szCs w:val="24"/>
          <w:lang w:eastAsia="ru-RU"/>
        </w:rPr>
        <w:t>-производство теплоэнергии;</w:t>
        <w:tab/>
      </w:r>
    </w:p>
    <w:p>
      <w:pPr>
        <w:pStyle w:val="Normal"/>
        <w:suppressAutoHyphens w:val="false"/>
        <w:jc w:val="both"/>
        <w:rPr>
          <w:sz w:val="24"/>
          <w:szCs w:val="24"/>
          <w:lang w:eastAsia="ru-RU"/>
        </w:rPr>
      </w:pPr>
      <w:r>
        <w:rPr>
          <w:sz w:val="24"/>
          <w:szCs w:val="24"/>
          <w:lang w:eastAsia="ru-RU"/>
        </w:rPr>
        <w:t xml:space="preserve">      </w:t>
      </w:r>
      <w:r>
        <w:rPr>
          <w:sz w:val="24"/>
          <w:szCs w:val="24"/>
          <w:lang w:eastAsia="ru-RU"/>
        </w:rPr>
        <w:t>-коммерческая  деятельность;</w:t>
      </w:r>
    </w:p>
    <w:p>
      <w:pPr>
        <w:pStyle w:val="Normal"/>
        <w:suppressAutoHyphens w:val="false"/>
        <w:jc w:val="both"/>
        <w:rPr>
          <w:sz w:val="24"/>
          <w:szCs w:val="24"/>
          <w:lang w:eastAsia="ru-RU"/>
        </w:rPr>
      </w:pPr>
      <w:r>
        <w:rPr>
          <w:sz w:val="24"/>
          <w:szCs w:val="24"/>
          <w:lang w:eastAsia="ru-RU"/>
        </w:rPr>
        <w:t xml:space="preserve">      </w:t>
      </w:r>
      <w:r>
        <w:rPr>
          <w:sz w:val="24"/>
          <w:szCs w:val="24"/>
          <w:lang w:eastAsia="ru-RU"/>
        </w:rPr>
        <w:t>-торгово-посредническая деятельность;</w:t>
      </w:r>
    </w:p>
    <w:p>
      <w:pPr>
        <w:pStyle w:val="Normal"/>
        <w:suppressAutoHyphens w:val="false"/>
        <w:jc w:val="both"/>
        <w:rPr>
          <w:sz w:val="24"/>
          <w:szCs w:val="24"/>
          <w:lang w:eastAsia="ru-RU"/>
        </w:rPr>
      </w:pPr>
      <w:r>
        <w:rPr>
          <w:sz w:val="24"/>
          <w:szCs w:val="24"/>
          <w:lang w:eastAsia="ru-RU"/>
        </w:rPr>
        <w:t xml:space="preserve">     </w:t>
      </w:r>
      <w:r>
        <w:rPr>
          <w:sz w:val="24"/>
          <w:szCs w:val="24"/>
          <w:lang w:eastAsia="ru-RU"/>
        </w:rPr>
        <w:t>- внешнеэкономическая деятельность;</w:t>
      </w:r>
    </w:p>
    <w:p>
      <w:pPr>
        <w:pStyle w:val="Normal"/>
        <w:suppressAutoHyphens w:val="false"/>
        <w:jc w:val="both"/>
        <w:rPr>
          <w:sz w:val="24"/>
          <w:szCs w:val="24"/>
          <w:lang w:eastAsia="ru-RU"/>
        </w:rPr>
      </w:pPr>
      <w:r>
        <w:rPr>
          <w:sz w:val="24"/>
          <w:szCs w:val="24"/>
          <w:lang w:eastAsia="ru-RU"/>
        </w:rPr>
        <w:t xml:space="preserve">     </w:t>
      </w:r>
      <w:r>
        <w:rPr>
          <w:sz w:val="24"/>
          <w:szCs w:val="24"/>
          <w:lang w:eastAsia="ru-RU"/>
        </w:rPr>
        <w:t>- оптово-розничная торговля ;</w:t>
      </w:r>
    </w:p>
    <w:p>
      <w:pPr>
        <w:pStyle w:val="Normal"/>
        <w:suppressAutoHyphens w:val="false"/>
        <w:jc w:val="both"/>
        <w:rPr>
          <w:sz w:val="24"/>
          <w:szCs w:val="24"/>
          <w:lang w:eastAsia="ru-RU"/>
        </w:rPr>
      </w:pPr>
      <w:r>
        <w:rPr>
          <w:sz w:val="24"/>
          <w:szCs w:val="24"/>
          <w:lang w:eastAsia="ru-RU"/>
        </w:rPr>
        <w:t xml:space="preserve">     </w:t>
      </w:r>
      <w:r>
        <w:rPr>
          <w:sz w:val="24"/>
          <w:szCs w:val="24"/>
          <w:lang w:eastAsia="ru-RU"/>
        </w:rPr>
        <w:t>- услуги общественного питания .</w:t>
      </w:r>
    </w:p>
    <w:p>
      <w:pPr>
        <w:pStyle w:val="Normal"/>
        <w:suppressAutoHyphens w:val="false"/>
        <w:ind w:firstLine="708" w:end="0"/>
        <w:jc w:val="both"/>
        <w:rPr/>
      </w:pPr>
      <w:r>
        <w:rPr>
          <w:sz w:val="24"/>
          <w:szCs w:val="24"/>
          <w:lang w:eastAsia="ru-RU"/>
        </w:rPr>
        <w:t>При осуществлении видов деятельности, на которые распространяются предусмотренные действующим законодательством Российской Федерации особые условия в части лицензирования, Общество оформляет лицензии в общеустановленном порядке.</w:t>
      </w:r>
    </w:p>
    <w:p>
      <w:pPr>
        <w:pStyle w:val="Normal"/>
        <w:suppressAutoHyphens w:val="false"/>
        <w:jc w:val="both"/>
        <w:rPr>
          <w:sz w:val="24"/>
          <w:szCs w:val="24"/>
        </w:rPr>
      </w:pPr>
      <w:r>
        <w:rPr>
          <w:sz w:val="24"/>
          <w:szCs w:val="24"/>
          <w:lang w:eastAsia="ru-RU"/>
        </w:rPr>
        <w:tab/>
      </w:r>
    </w:p>
    <w:p>
      <w:pPr>
        <w:pStyle w:val="Heading1"/>
        <w:ind w:hanging="0" w:start="0"/>
        <w:jc w:val="center"/>
        <w:rPr>
          <w:rFonts w:cs="Times New Roman"/>
          <w:sz w:val="24"/>
          <w:szCs w:val="24"/>
        </w:rPr>
      </w:pPr>
      <w:r>
        <w:rPr>
          <w:rFonts w:cs="Times New Roman" w:ascii="Times New Roman" w:hAnsi="Times New Roman"/>
          <w:sz w:val="24"/>
          <w:szCs w:val="24"/>
          <w:lang w:val="ru-RU"/>
        </w:rPr>
        <w:t>2.</w:t>
      </w:r>
      <w:r>
        <w:rPr>
          <w:rFonts w:cs="Times New Roman" w:ascii="Times New Roman" w:hAnsi="Times New Roman"/>
          <w:sz w:val="24"/>
          <w:szCs w:val="24"/>
        </w:rPr>
        <w:t xml:space="preserve"> Основные положения учетной политики</w:t>
      </w:r>
    </w:p>
    <w:p>
      <w:pPr>
        <w:pStyle w:val="Normal"/>
        <w:autoSpaceDE w:val="false"/>
        <w:ind w:firstLine="709" w:end="0"/>
        <w:jc w:val="both"/>
        <w:rPr>
          <w:rFonts w:cs="Times New Roman"/>
          <w:sz w:val="24"/>
          <w:szCs w:val="24"/>
        </w:rPr>
      </w:pPr>
      <w:r>
        <w:rPr>
          <w:rFonts w:cs="Times New Roman"/>
          <w:sz w:val="24"/>
          <w:szCs w:val="24"/>
        </w:rPr>
      </w:r>
    </w:p>
    <w:p>
      <w:pPr>
        <w:pStyle w:val="Normal"/>
        <w:autoSpaceDE w:val="false"/>
        <w:ind w:firstLine="709" w:end="0"/>
        <w:jc w:val="both"/>
        <w:rPr>
          <w:sz w:val="24"/>
          <w:szCs w:val="24"/>
        </w:rPr>
      </w:pPr>
      <w:r>
        <w:rPr>
          <w:sz w:val="24"/>
          <w:szCs w:val="24"/>
        </w:rPr>
        <w:t>Бухгалтерская отчетность составлена в соответствии с федеральными стандартами бухгалтерского учета, принимаемыми в соответствии с Федеральным законом от 6 декабря 2011 г. № 402-ФЗ «О бухгалтерском учете».</w:t>
      </w:r>
    </w:p>
    <w:p>
      <w:pPr>
        <w:pStyle w:val="Normal"/>
        <w:autoSpaceDE w:val="false"/>
        <w:ind w:firstLine="709" w:end="0"/>
        <w:jc w:val="both"/>
        <w:rPr>
          <w:sz w:val="24"/>
          <w:szCs w:val="24"/>
        </w:rPr>
      </w:pPr>
      <w:r>
        <w:rPr>
          <w:sz w:val="24"/>
          <w:szCs w:val="24"/>
        </w:rPr>
      </w:r>
    </w:p>
    <w:p>
      <w:pPr>
        <w:pStyle w:val="Normal"/>
        <w:ind w:firstLine="709" w:end="0"/>
        <w:jc w:val="both"/>
        <w:rPr/>
      </w:pPr>
      <w:r>
        <w:rPr>
          <w:bCs/>
          <w:sz w:val="24"/>
          <w:szCs w:val="24"/>
        </w:rPr>
        <w:t>При подготовке бухгалтерской (финансовой) отчетности Общество применяло следующие критерии существенности: показатель считается существенным и приводится обособленно в бухгалтерском балансе, отчете о финансовых результатах, отчете об изменениях капитала или отчете о движении денежных средств, если его не раскрытие может повлиять на экономические решения заинтересованных пользователей, принимаемые на основе отчетной информации. При детализации статей вышеперечисленных форм существенной признается сумма, составляющая 5% и более от показателя статьи. Показатели, составляющие менее 5% от показателя статьи, приводятся обособленно в случае, если это обусловлено их характером либо конкретными обстоятельствами возникновения.</w:t>
      </w:r>
      <w:r>
        <w:rPr>
          <w:sz w:val="24"/>
          <w:szCs w:val="24"/>
        </w:rPr>
        <w:t xml:space="preserve"> </w:t>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Heading1"/>
        <w:ind w:hanging="0" w:start="0"/>
        <w:jc w:val="center"/>
        <w:rPr>
          <w:rFonts w:cs="Times New Roman"/>
          <w:color w:val="FF0000"/>
          <w:sz w:val="24"/>
          <w:szCs w:val="24"/>
        </w:rPr>
      </w:pPr>
      <w:r>
        <w:rPr>
          <w:rFonts w:cs="Times New Roman" w:ascii="Times New Roman" w:hAnsi="Times New Roman"/>
          <w:sz w:val="24"/>
          <w:szCs w:val="24"/>
          <w:lang w:val="ru-RU"/>
        </w:rPr>
        <w:t xml:space="preserve">2.1. </w:t>
      </w:r>
      <w:r>
        <w:rPr>
          <w:rFonts w:cs="Times New Roman" w:ascii="Times New Roman" w:hAnsi="Times New Roman"/>
          <w:sz w:val="24"/>
          <w:szCs w:val="24"/>
        </w:rPr>
        <w:t>Доходы.</w:t>
      </w:r>
      <w:r>
        <w:rPr>
          <w:rFonts w:cs="Times New Roman" w:ascii="Times New Roman" w:hAnsi="Times New Roman"/>
          <w:sz w:val="24"/>
          <w:szCs w:val="24"/>
          <w:lang w:val="ru-RU"/>
        </w:rPr>
        <w:t xml:space="preserve"> </w:t>
      </w:r>
    </w:p>
    <w:p>
      <w:pPr>
        <w:pStyle w:val="Normal"/>
        <w:autoSpaceDE w:val="false"/>
        <w:ind w:firstLine="709" w:end="0"/>
        <w:jc w:val="both"/>
        <w:rPr>
          <w:rFonts w:cs="Times New Roman"/>
          <w:b/>
          <w:color w:val="FF0000"/>
          <w:sz w:val="24"/>
          <w:szCs w:val="24"/>
        </w:rPr>
      </w:pPr>
      <w:r>
        <w:rPr>
          <w:rFonts w:cs="Times New Roman"/>
          <w:b/>
          <w:color w:val="FF0000"/>
          <w:sz w:val="24"/>
          <w:szCs w:val="24"/>
        </w:rPr>
      </w:r>
    </w:p>
    <w:p>
      <w:pPr>
        <w:pStyle w:val="Normal"/>
        <w:autoSpaceDE w:val="false"/>
        <w:ind w:firstLine="708" w:end="0"/>
        <w:jc w:val="both"/>
        <w:rPr>
          <w:sz w:val="24"/>
          <w:szCs w:val="24"/>
        </w:rPr>
      </w:pPr>
      <w:r>
        <w:rPr>
          <w:sz w:val="24"/>
          <w:szCs w:val="24"/>
        </w:rPr>
        <w:t>Доходы от обычных видов деятельности, прочие доходы и поступления для целей бухгалтерского учета признаются в соответствии с условиями, определенными для их признания в Положении по бухгалтерскому учету «Доходы организации» ПБУ 9/99, и в сумме, исчисленной в денежном выражении в соответствии с правилами упомянутого Положения.</w:t>
      </w:r>
    </w:p>
    <w:p>
      <w:pPr>
        <w:pStyle w:val="Normal"/>
        <w:autoSpaceDE w:val="false"/>
        <w:ind w:firstLine="709" w:end="0"/>
        <w:jc w:val="both"/>
        <w:rPr>
          <w:sz w:val="24"/>
          <w:szCs w:val="24"/>
        </w:rPr>
      </w:pPr>
      <w:r>
        <w:rPr>
          <w:sz w:val="24"/>
          <w:szCs w:val="24"/>
        </w:rPr>
        <w:t>Датой признания доходов от сдачи имущества в аренду (субаренду) и доходов от предоставления в пользование прав на результаты интеллектуальной деятельности и приравненные к ним средства индивидуализации (в частности, от предоставления в пользование прав, возникающих из патентов на изобретения) признается последний день месяца.</w:t>
      </w:r>
    </w:p>
    <w:p>
      <w:pPr>
        <w:pStyle w:val="Normal"/>
        <w:autoSpaceDE w:val="false"/>
        <w:ind w:firstLine="708" w:end="0"/>
        <w:jc w:val="both"/>
        <w:rPr/>
      </w:pPr>
      <w:r>
        <w:rPr>
          <w:sz w:val="24"/>
          <w:szCs w:val="24"/>
        </w:rPr>
        <w:t xml:space="preserve">Выручка в бухгалтерском учете признается при выполнении условий, установленных </w:t>
      </w:r>
      <w:hyperlink r:id="rId2">
        <w:r>
          <w:rPr>
            <w:rStyle w:val="Hyperlink"/>
            <w:color w:val="000000"/>
            <w:sz w:val="24"/>
            <w:szCs w:val="24"/>
          </w:rPr>
          <w:t>п. 12</w:t>
        </w:r>
      </w:hyperlink>
      <w:r>
        <w:rPr>
          <w:sz w:val="24"/>
          <w:szCs w:val="24"/>
        </w:rPr>
        <w:t xml:space="preserve"> ПБУ 9/99. </w:t>
      </w:r>
    </w:p>
    <w:p>
      <w:pPr>
        <w:pStyle w:val="Normal"/>
        <w:autoSpaceDE w:val="false"/>
        <w:ind w:firstLine="709" w:end="0"/>
        <w:jc w:val="both"/>
        <w:rPr>
          <w:sz w:val="24"/>
          <w:szCs w:val="24"/>
        </w:rPr>
      </w:pPr>
      <w:r>
        <w:rPr>
          <w:sz w:val="24"/>
          <w:szCs w:val="24"/>
        </w:rPr>
        <w:t>Выручка от реализации готовой продукции определяется по мере отгрузки продукции покупателям и предъявления им расчетных документов</w:t>
      </w:r>
    </w:p>
    <w:p>
      <w:pPr>
        <w:pStyle w:val="Normal"/>
        <w:autoSpaceDE w:val="false"/>
        <w:ind w:firstLine="709" w:end="0"/>
        <w:jc w:val="both"/>
        <w:rPr>
          <w:sz w:val="24"/>
          <w:szCs w:val="24"/>
        </w:rPr>
      </w:pPr>
      <w:r>
        <w:rPr>
          <w:sz w:val="24"/>
          <w:szCs w:val="24"/>
        </w:rPr>
        <w:t>Выручка от оказания услуг признается на дату завершения оказания услуг (дату подписания акта приемки-сдачи оказанных услуг).</w:t>
      </w:r>
    </w:p>
    <w:p>
      <w:pPr>
        <w:pStyle w:val="Normal"/>
        <w:ind w:firstLine="708" w:end="0"/>
        <w:jc w:val="both"/>
        <w:rPr>
          <w:sz w:val="24"/>
          <w:szCs w:val="24"/>
        </w:rPr>
      </w:pPr>
      <w:r>
        <w:rPr>
          <w:sz w:val="24"/>
          <w:szCs w:val="24"/>
        </w:rPr>
        <w:t>Общество осуществляет свою деятельность на территории Российской Федерации и не выделяет на ее территории отдельных географических сегментов, поскольку источники и характер рисков примерно одинаковы.</w:t>
      </w:r>
    </w:p>
    <w:p>
      <w:pPr>
        <w:pStyle w:val="Normal"/>
        <w:autoSpaceDE w:val="false"/>
        <w:ind w:firstLine="709" w:end="0"/>
        <w:jc w:val="both"/>
        <w:rPr>
          <w:sz w:val="24"/>
          <w:szCs w:val="24"/>
        </w:rPr>
      </w:pPr>
      <w:r>
        <w:rPr>
          <w:sz w:val="24"/>
          <w:szCs w:val="24"/>
        </w:rPr>
        <w:t xml:space="preserve">                          </w:t>
      </w:r>
    </w:p>
    <w:p>
      <w:pPr>
        <w:pStyle w:val="Heading1"/>
        <w:ind w:hanging="0" w:start="0"/>
        <w:jc w:val="center"/>
        <w:rPr>
          <w:rFonts w:cs="Times New Roman"/>
          <w:sz w:val="24"/>
          <w:szCs w:val="24"/>
        </w:rPr>
      </w:pPr>
      <w:r>
        <w:rPr>
          <w:rFonts w:cs="Times New Roman" w:ascii="Times New Roman" w:hAnsi="Times New Roman"/>
          <w:sz w:val="24"/>
          <w:szCs w:val="24"/>
          <w:lang w:val="ru-RU"/>
        </w:rPr>
        <w:t xml:space="preserve">2.2. </w:t>
      </w:r>
      <w:r>
        <w:rPr>
          <w:rFonts w:cs="Times New Roman" w:ascii="Times New Roman" w:hAnsi="Times New Roman"/>
          <w:sz w:val="24"/>
          <w:szCs w:val="24"/>
        </w:rPr>
        <w:t>Расходы.</w:t>
      </w:r>
    </w:p>
    <w:p>
      <w:pPr>
        <w:pStyle w:val="Normal"/>
        <w:autoSpaceDE w:val="false"/>
        <w:ind w:firstLine="709" w:end="0"/>
        <w:jc w:val="both"/>
        <w:rPr>
          <w:rFonts w:cs="Times New Roman"/>
          <w:sz w:val="24"/>
          <w:szCs w:val="24"/>
        </w:rPr>
      </w:pPr>
      <w:r>
        <w:rPr>
          <w:rFonts w:cs="Times New Roman"/>
          <w:sz w:val="24"/>
          <w:szCs w:val="24"/>
        </w:rPr>
      </w:r>
    </w:p>
    <w:p>
      <w:pPr>
        <w:pStyle w:val="Normal"/>
        <w:autoSpaceDE w:val="false"/>
        <w:ind w:firstLine="709" w:end="0"/>
        <w:jc w:val="both"/>
        <w:rPr>
          <w:sz w:val="24"/>
          <w:szCs w:val="24"/>
        </w:rPr>
      </w:pPr>
      <w:r>
        <w:rPr>
          <w:sz w:val="24"/>
          <w:szCs w:val="24"/>
        </w:rPr>
        <w:t>Расходами признается уменьшение экономических выгод в результате выбытия активов и (или) возникновения   обязательств, приводящее к уменьшению капитала организации (за исключением уменьшении вкладов по решению участников), при выполнении условий признания расходов (ПБУ 10/99, утвержденное приказом Минфина России от 06.05.99 г. № 33н.)</w:t>
      </w:r>
    </w:p>
    <w:p>
      <w:pPr>
        <w:pStyle w:val="Normal"/>
        <w:autoSpaceDE w:val="false"/>
        <w:ind w:firstLine="709" w:end="0"/>
        <w:jc w:val="both"/>
        <w:rPr>
          <w:sz w:val="24"/>
          <w:szCs w:val="24"/>
        </w:rPr>
      </w:pPr>
      <w:r>
        <w:rPr>
          <w:sz w:val="24"/>
          <w:szCs w:val="24"/>
        </w:rPr>
        <w:t>Расходы подразделяются на расходы по обычным видам деятельности и прочие расходы.</w:t>
      </w:r>
    </w:p>
    <w:p>
      <w:pPr>
        <w:pStyle w:val="Normal"/>
        <w:autoSpaceDE w:val="false"/>
        <w:ind w:firstLine="709" w:end="0"/>
        <w:jc w:val="both"/>
        <w:rPr/>
      </w:pPr>
      <w:r>
        <w:rPr>
          <w:sz w:val="24"/>
          <w:szCs w:val="24"/>
        </w:rPr>
        <w:t xml:space="preserve">К расходам по обычным видам деятельности относятся расходы, связанные с предметом деятельности организации: изготовлением и продажей продукции, приобретением и продажей товаров, выполнением работ, оказанием услуг:   </w:t>
      </w:r>
    </w:p>
    <w:p>
      <w:pPr>
        <w:pStyle w:val="Normal"/>
        <w:numPr>
          <w:ilvl w:val="0"/>
          <w:numId w:val="5"/>
        </w:numPr>
        <w:autoSpaceDE w:val="false"/>
        <w:jc w:val="both"/>
        <w:rPr>
          <w:sz w:val="24"/>
          <w:szCs w:val="24"/>
        </w:rPr>
      </w:pPr>
      <w:r>
        <w:rPr>
          <w:sz w:val="24"/>
          <w:szCs w:val="24"/>
        </w:rPr>
        <w:t>расходы, связанные с производством и продажей готовой продукции и полуфабрикатов собственного производства;</w:t>
      </w:r>
    </w:p>
    <w:p>
      <w:pPr>
        <w:pStyle w:val="Normal"/>
        <w:numPr>
          <w:ilvl w:val="0"/>
          <w:numId w:val="5"/>
        </w:numPr>
        <w:autoSpaceDE w:val="false"/>
        <w:jc w:val="both"/>
        <w:rPr>
          <w:sz w:val="24"/>
          <w:szCs w:val="24"/>
        </w:rPr>
      </w:pPr>
      <w:r>
        <w:rPr>
          <w:sz w:val="24"/>
          <w:szCs w:val="24"/>
        </w:rPr>
        <w:t>расходы по деятельности, связанной с передачей прав на результаты интеллектуальной деятельности;</w:t>
      </w:r>
    </w:p>
    <w:p>
      <w:pPr>
        <w:pStyle w:val="Normal"/>
        <w:numPr>
          <w:ilvl w:val="0"/>
          <w:numId w:val="5"/>
        </w:numPr>
        <w:autoSpaceDE w:val="false"/>
        <w:jc w:val="both"/>
        <w:rPr>
          <w:sz w:val="24"/>
          <w:szCs w:val="24"/>
        </w:rPr>
      </w:pPr>
      <w:r>
        <w:rPr>
          <w:sz w:val="24"/>
          <w:szCs w:val="24"/>
        </w:rPr>
        <w:t>расходы, связанные с деятельностью по сдаче имущества в аренду;</w:t>
      </w:r>
    </w:p>
    <w:p>
      <w:pPr>
        <w:pStyle w:val="Normal"/>
        <w:numPr>
          <w:ilvl w:val="0"/>
          <w:numId w:val="5"/>
        </w:numPr>
        <w:autoSpaceDE w:val="false"/>
        <w:jc w:val="both"/>
        <w:rPr>
          <w:sz w:val="24"/>
          <w:szCs w:val="24"/>
        </w:rPr>
      </w:pPr>
      <w:r>
        <w:rPr>
          <w:sz w:val="24"/>
          <w:szCs w:val="24"/>
        </w:rPr>
        <w:t>расходы, связанные с реализацией продукции, изготовленной организациями-подрядчиками по договорам о производстве продукции под товарным знаком Общества;</w:t>
      </w:r>
    </w:p>
    <w:p>
      <w:pPr>
        <w:pStyle w:val="Normal"/>
        <w:numPr>
          <w:ilvl w:val="0"/>
          <w:numId w:val="5"/>
        </w:numPr>
        <w:autoSpaceDE w:val="false"/>
        <w:jc w:val="both"/>
        <w:rPr>
          <w:sz w:val="24"/>
          <w:szCs w:val="24"/>
        </w:rPr>
      </w:pPr>
      <w:r>
        <w:rPr>
          <w:sz w:val="24"/>
          <w:szCs w:val="24"/>
        </w:rPr>
        <w:t>расходы, связанные с выполнением работ  по договорам о производстве продукции под товарным знаком Заказчика;</w:t>
      </w:r>
    </w:p>
    <w:p>
      <w:pPr>
        <w:pStyle w:val="Normal"/>
        <w:numPr>
          <w:ilvl w:val="0"/>
          <w:numId w:val="5"/>
        </w:numPr>
        <w:autoSpaceDE w:val="false"/>
        <w:jc w:val="both"/>
        <w:rPr>
          <w:sz w:val="24"/>
          <w:szCs w:val="24"/>
        </w:rPr>
      </w:pPr>
      <w:r>
        <w:rPr>
          <w:sz w:val="24"/>
          <w:szCs w:val="24"/>
        </w:rPr>
        <w:t>расходы, связанные с реализацией на сторону товаров (работ, услуг) обслуживающих и вспомогательных производств;</w:t>
      </w:r>
    </w:p>
    <w:p>
      <w:pPr>
        <w:pStyle w:val="Normal"/>
        <w:numPr>
          <w:ilvl w:val="0"/>
          <w:numId w:val="5"/>
        </w:numPr>
        <w:autoSpaceDE w:val="false"/>
        <w:jc w:val="both"/>
        <w:rPr>
          <w:sz w:val="24"/>
          <w:szCs w:val="24"/>
        </w:rPr>
      </w:pPr>
      <w:r>
        <w:rPr>
          <w:sz w:val="24"/>
          <w:szCs w:val="24"/>
        </w:rPr>
        <w:t xml:space="preserve">прочие расходы, связанные с реализацией прочих работ, услуг, когда они являются предметом деятельности организации. </w:t>
      </w:r>
    </w:p>
    <w:p>
      <w:pPr>
        <w:pStyle w:val="Normal"/>
        <w:autoSpaceDE w:val="false"/>
        <w:ind w:firstLine="709" w:end="0"/>
        <w:jc w:val="both"/>
        <w:rPr>
          <w:sz w:val="24"/>
          <w:szCs w:val="24"/>
        </w:rPr>
      </w:pPr>
      <w:r>
        <w:rPr>
          <w:sz w:val="24"/>
          <w:szCs w:val="24"/>
        </w:rPr>
        <w:t xml:space="preserve">Общепроизводственные расходы распределяются на цеха основного производства пропорционально тоннажу выработанной готовой продукции. </w:t>
      </w:r>
    </w:p>
    <w:p>
      <w:pPr>
        <w:pStyle w:val="Normal"/>
        <w:autoSpaceDE w:val="false"/>
        <w:ind w:firstLine="709" w:end="0"/>
        <w:jc w:val="both"/>
        <w:rPr>
          <w:sz w:val="24"/>
          <w:szCs w:val="24"/>
        </w:rPr>
      </w:pPr>
      <w:r>
        <w:rPr>
          <w:sz w:val="24"/>
          <w:szCs w:val="24"/>
        </w:rPr>
      </w:r>
    </w:p>
    <w:p>
      <w:pPr>
        <w:pStyle w:val="Heading1"/>
        <w:ind w:hanging="0" w:start="0"/>
        <w:jc w:val="center"/>
        <w:rPr>
          <w:rFonts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lang w:val="ru-RU"/>
        </w:rPr>
        <w:t xml:space="preserve">2.3. </w:t>
      </w:r>
      <w:r>
        <w:rPr>
          <w:rFonts w:cs="Times New Roman" w:ascii="Times New Roman" w:hAnsi="Times New Roman"/>
          <w:sz w:val="24"/>
          <w:szCs w:val="24"/>
        </w:rPr>
        <w:t>Порядок признания коммерческих и управленческих расходов.</w:t>
      </w:r>
    </w:p>
    <w:p>
      <w:pPr>
        <w:pStyle w:val="Normal"/>
        <w:autoSpaceDE w:val="false"/>
        <w:ind w:firstLine="709" w:end="0"/>
        <w:jc w:val="both"/>
        <w:rPr>
          <w:rFonts w:cs="Times New Roman"/>
          <w:sz w:val="24"/>
          <w:szCs w:val="24"/>
        </w:rPr>
      </w:pPr>
      <w:r>
        <w:rPr>
          <w:rFonts w:cs="Times New Roman"/>
          <w:sz w:val="24"/>
          <w:szCs w:val="24"/>
        </w:rPr>
      </w:r>
    </w:p>
    <w:p>
      <w:pPr>
        <w:pStyle w:val="Normal"/>
        <w:autoSpaceDE w:val="false"/>
        <w:ind w:firstLine="709" w:end="0"/>
        <w:jc w:val="both"/>
        <w:rPr>
          <w:sz w:val="24"/>
          <w:szCs w:val="24"/>
        </w:rPr>
      </w:pPr>
      <w:r>
        <w:rPr>
          <w:sz w:val="24"/>
          <w:szCs w:val="24"/>
        </w:rPr>
        <w:t xml:space="preserve">Общехозяйственные расходы учитываются на счете 26 «Общехозяйственные расходы», включаются в себестоимость реализованной продукции (работ, услуг) по методу «директ-костинг» по статье «Управленческие расходы» </w:t>
      </w:r>
    </w:p>
    <w:p>
      <w:pPr>
        <w:pStyle w:val="Normal"/>
        <w:ind w:firstLine="709" w:end="0"/>
        <w:jc w:val="both"/>
        <w:rPr>
          <w:sz w:val="24"/>
          <w:szCs w:val="24"/>
        </w:rPr>
      </w:pPr>
      <w:r>
        <w:rPr>
          <w:sz w:val="24"/>
          <w:szCs w:val="24"/>
        </w:rPr>
        <w:t>Расходы, учтенные на счете 26 "Общехозяйственные расходы", списываются в конце каждого месяца в дебет счета 90 без распределения по видам произведенной продукции, оказанных услуг.</w:t>
      </w:r>
      <w:r>
        <w:rPr>
          <w:sz w:val="24"/>
          <w:szCs w:val="24"/>
          <w:u w:val="single"/>
        </w:rPr>
        <w:t xml:space="preserve"> </w:t>
      </w:r>
    </w:p>
    <w:p>
      <w:pPr>
        <w:pStyle w:val="Normal"/>
        <w:autoSpaceDE w:val="false"/>
        <w:ind w:firstLine="709" w:end="0"/>
        <w:jc w:val="both"/>
        <w:rPr>
          <w:sz w:val="24"/>
          <w:szCs w:val="24"/>
        </w:rPr>
      </w:pPr>
      <w:r>
        <w:rPr>
          <w:sz w:val="24"/>
          <w:szCs w:val="24"/>
        </w:rPr>
        <w:t>Расходы на продажу учитываются на счете 44 «Коммерческие расходы» и ежемесячно списываются в полном размере в дебет счета 90 «Расходы на продажу».</w:t>
      </w:r>
    </w:p>
    <w:p>
      <w:pPr>
        <w:pStyle w:val="Normal"/>
        <w:autoSpaceDE w:val="false"/>
        <w:ind w:firstLine="709" w:end="0"/>
        <w:jc w:val="both"/>
        <w:rPr>
          <w:sz w:val="24"/>
          <w:szCs w:val="24"/>
        </w:rPr>
      </w:pPr>
      <w:r>
        <w:rPr>
          <w:sz w:val="24"/>
          <w:szCs w:val="24"/>
        </w:rPr>
      </w:r>
    </w:p>
    <w:p>
      <w:pPr>
        <w:pStyle w:val="Heading1"/>
        <w:ind w:hanging="0" w:start="0"/>
        <w:jc w:val="center"/>
        <w:rPr>
          <w:rFonts w:cs="Times New Roman"/>
          <w:color w:val="000000"/>
          <w:sz w:val="24"/>
          <w:szCs w:val="24"/>
        </w:rPr>
      </w:pPr>
      <w:r>
        <w:rPr>
          <w:rFonts w:cs="Times New Roman" w:ascii="Times New Roman" w:hAnsi="Times New Roman"/>
          <w:sz w:val="24"/>
          <w:szCs w:val="24"/>
          <w:lang w:val="ru-RU"/>
        </w:rPr>
        <w:t xml:space="preserve">2.4. </w:t>
      </w:r>
      <w:r>
        <w:rPr>
          <w:rFonts w:cs="Times New Roman" w:ascii="Times New Roman" w:hAnsi="Times New Roman"/>
          <w:sz w:val="24"/>
          <w:szCs w:val="24"/>
        </w:rPr>
        <w:t>Основные средства.</w:t>
      </w:r>
    </w:p>
    <w:p>
      <w:pPr>
        <w:pStyle w:val="Normal"/>
        <w:autoSpaceDE w:val="false"/>
        <w:ind w:firstLine="708" w:end="0"/>
        <w:jc w:val="both"/>
        <w:rPr>
          <w:rFonts w:cs="Times New Roman"/>
          <w:b/>
          <w:bCs/>
          <w:color w:val="000000"/>
          <w:kern w:val="2"/>
          <w:sz w:val="24"/>
          <w:szCs w:val="24"/>
          <w:lang w:val="ru-RU"/>
        </w:rPr>
      </w:pPr>
      <w:r>
        <w:rPr>
          <w:rFonts w:cs="Times New Roman"/>
          <w:b/>
          <w:bCs/>
          <w:color w:val="000000"/>
          <w:kern w:val="2"/>
          <w:sz w:val="24"/>
          <w:szCs w:val="24"/>
          <w:lang w:val="ru-RU"/>
        </w:rPr>
      </w:r>
    </w:p>
    <w:p>
      <w:pPr>
        <w:pStyle w:val="ConsPlusNormal"/>
        <w:ind w:firstLine="709" w:end="0"/>
        <w:jc w:val="both"/>
        <w:rPr>
          <w:color w:val="000000"/>
        </w:rPr>
      </w:pPr>
      <w:r>
        <w:rPr>
          <w:color w:val="000000"/>
        </w:rPr>
        <w:t>Учет основных средств (ОС) ведется в соответствии с ФСБУ 6/2020 «Основные средства.</w:t>
        <w:tab/>
      </w:r>
    </w:p>
    <w:p>
      <w:pPr>
        <w:pStyle w:val="Normal"/>
        <w:ind w:firstLine="709" w:end="0"/>
        <w:jc w:val="both"/>
        <w:rPr>
          <w:color w:val="000000"/>
        </w:rPr>
      </w:pPr>
      <w:r>
        <w:rPr>
          <w:color w:val="000000"/>
          <w:sz w:val="24"/>
          <w:szCs w:val="24"/>
        </w:rPr>
        <w:t>В составе основных средств отражены здания, сооружения, машины, оборудование, транспортные средства и другие соответствующие объекты со сроком службы более 12 месяцев.</w:t>
      </w:r>
    </w:p>
    <w:p>
      <w:pPr>
        <w:pStyle w:val="ConsPlusNormal"/>
        <w:ind w:firstLine="709" w:end="0"/>
        <w:jc w:val="both"/>
        <w:rPr>
          <w:color w:val="000000"/>
        </w:rPr>
      </w:pPr>
      <w:r>
        <w:rPr>
          <w:color w:val="000000"/>
        </w:rPr>
        <w:t>Актив, удовлетворяющий условиям п. 4 ФСБУ 6/2020, относится к объектам ОС, если его стоимость превышает 100 тыс. руб.</w:t>
      </w:r>
    </w:p>
    <w:p>
      <w:pPr>
        <w:pStyle w:val="BodyText"/>
        <w:ind w:firstLine="709" w:end="0"/>
        <w:jc w:val="both"/>
        <w:rPr>
          <w:color w:val="000000"/>
          <w:sz w:val="24"/>
          <w:szCs w:val="24"/>
        </w:rPr>
      </w:pPr>
      <w:r>
        <w:rPr>
          <w:color w:val="000000"/>
          <w:sz w:val="24"/>
          <w:szCs w:val="24"/>
        </w:rPr>
        <w:t>Объекты основных средств приняты к учету по фактическим затратам на их приобретение (создание).</w:t>
        <w:tab/>
      </w:r>
    </w:p>
    <w:p>
      <w:pPr>
        <w:pStyle w:val="Normal"/>
        <w:ind w:firstLine="709" w:end="0"/>
        <w:jc w:val="both"/>
        <w:rPr>
          <w:color w:val="000000"/>
          <w:sz w:val="24"/>
          <w:szCs w:val="24"/>
        </w:rPr>
      </w:pPr>
      <w:r>
        <w:rPr>
          <w:color w:val="000000"/>
          <w:sz w:val="24"/>
          <w:szCs w:val="24"/>
        </w:rPr>
        <w:t>Все объекты ОС после признания учитываются по первоначальной стоимости, переоценка не производится. Первоначальная стоимость объекта основных средств увеличивается на сумму капитальных вложений, связанных с улучшением и (или) восстановлением этого объекта в момент, завершения таких капитальных вложений.</w:t>
      </w:r>
    </w:p>
    <w:p>
      <w:pPr>
        <w:pStyle w:val="BodyText"/>
        <w:ind w:firstLine="709" w:end="0"/>
        <w:jc w:val="both"/>
        <w:rPr>
          <w:color w:val="000000"/>
          <w:sz w:val="24"/>
          <w:szCs w:val="24"/>
        </w:rPr>
      </w:pPr>
      <w:r>
        <w:rPr>
          <w:color w:val="000000"/>
          <w:sz w:val="24"/>
          <w:szCs w:val="24"/>
        </w:rPr>
        <w:t xml:space="preserve">Основные средства в отчетности показаны по первоначальной стоимости за минусом амортизации, накопленной за все время эксплуатации. </w:t>
      </w:r>
    </w:p>
    <w:p>
      <w:pPr>
        <w:pStyle w:val="BodyText"/>
        <w:ind w:firstLine="709" w:end="0"/>
        <w:jc w:val="both"/>
        <w:rPr>
          <w:sz w:val="24"/>
          <w:szCs w:val="24"/>
        </w:rPr>
      </w:pPr>
      <w:r>
        <w:rPr>
          <w:color w:val="000000"/>
          <w:sz w:val="24"/>
          <w:szCs w:val="24"/>
        </w:rPr>
        <w:t>Элементы амортизации (срок полезного использования и ликвидационная стоимость объектов основных средств) устанавливается созданной приказом руководителя Общества комиссией в соответствии с техническими условиями, рекомендациями организации-изготовителя, нормативными, договорными и другими ограничениями эксплуатации, намерениями руководства, планами по замене, модернизации, реконструкции, ожидаемому моральному устареванию отношении использования объекта.</w:t>
      </w:r>
    </w:p>
    <w:p>
      <w:pPr>
        <w:pStyle w:val="Normal"/>
        <w:tabs>
          <w:tab w:val="clear" w:pos="708"/>
          <w:tab w:val="left" w:pos="180" w:leader="none"/>
        </w:tabs>
        <w:ind w:firstLine="709" w:end="0"/>
        <w:jc w:val="both"/>
        <w:rPr>
          <w:sz w:val="24"/>
          <w:szCs w:val="24"/>
        </w:rPr>
      </w:pPr>
      <w:r>
        <w:rPr>
          <w:sz w:val="24"/>
          <w:szCs w:val="24"/>
        </w:rPr>
        <w:t>Ликвидационная стоимость объекта основных средств считается равной нулю, если:</w:t>
      </w:r>
    </w:p>
    <w:p>
      <w:pPr>
        <w:pStyle w:val="Normal"/>
        <w:tabs>
          <w:tab w:val="clear" w:pos="708"/>
          <w:tab w:val="left" w:pos="180" w:leader="none"/>
        </w:tabs>
        <w:ind w:firstLine="709" w:end="0"/>
        <w:jc w:val="both"/>
        <w:rPr>
          <w:sz w:val="24"/>
          <w:szCs w:val="24"/>
        </w:rPr>
      </w:pPr>
      <w:r>
        <w:rPr>
          <w:sz w:val="24"/>
          <w:szCs w:val="24"/>
        </w:rPr>
        <w:t>а) не ожидаются поступления от выбытия объекта основных средств (в том числе от продажи материальных ценностей, остающихся от его выбытия) в конце срока полезного использования;</w:t>
      </w:r>
    </w:p>
    <w:p>
      <w:pPr>
        <w:pStyle w:val="Normal"/>
        <w:tabs>
          <w:tab w:val="clear" w:pos="708"/>
          <w:tab w:val="left" w:pos="180" w:leader="none"/>
        </w:tabs>
        <w:ind w:firstLine="709" w:end="0"/>
        <w:jc w:val="both"/>
        <w:rPr>
          <w:sz w:val="24"/>
          <w:szCs w:val="24"/>
        </w:rPr>
      </w:pPr>
      <w:r>
        <w:rPr>
          <w:sz w:val="24"/>
          <w:szCs w:val="24"/>
        </w:rPr>
        <w:t>б) ожидаемая к поступлению сумма от выбытия объекта основных средств не является существенной;</w:t>
      </w:r>
    </w:p>
    <w:p>
      <w:pPr>
        <w:pStyle w:val="Normal"/>
        <w:tabs>
          <w:tab w:val="clear" w:pos="708"/>
          <w:tab w:val="left" w:pos="180" w:leader="none"/>
        </w:tabs>
        <w:ind w:firstLine="709" w:end="0"/>
        <w:jc w:val="both"/>
        <w:rPr>
          <w:sz w:val="24"/>
          <w:szCs w:val="24"/>
        </w:rPr>
      </w:pPr>
      <w:r>
        <w:rPr>
          <w:sz w:val="24"/>
          <w:szCs w:val="24"/>
        </w:rPr>
        <w:t>в) ожидаемая к поступлению сумма от выбытия объекта основных средств не может быть определена. Для возможности определения суммы к поступлению используются следующие источники:</w:t>
      </w:r>
    </w:p>
    <w:p>
      <w:pPr>
        <w:pStyle w:val="Normal"/>
        <w:tabs>
          <w:tab w:val="clear" w:pos="708"/>
          <w:tab w:val="left" w:pos="180" w:leader="none"/>
        </w:tabs>
        <w:ind w:firstLine="709" w:end="0"/>
        <w:jc w:val="both"/>
        <w:rPr>
          <w:sz w:val="24"/>
          <w:szCs w:val="24"/>
        </w:rPr>
      </w:pPr>
      <w:r>
        <w:rPr>
          <w:sz w:val="24"/>
          <w:szCs w:val="24"/>
        </w:rPr>
        <w:t>- аналогичные сделки самого Общества (например, по продажи металлолома);</w:t>
      </w:r>
    </w:p>
    <w:p>
      <w:pPr>
        <w:pStyle w:val="Normal"/>
        <w:tabs>
          <w:tab w:val="clear" w:pos="708"/>
          <w:tab w:val="left" w:pos="180" w:leader="none"/>
        </w:tabs>
        <w:ind w:firstLine="709" w:end="0"/>
        <w:jc w:val="both"/>
        <w:rPr>
          <w:sz w:val="24"/>
          <w:szCs w:val="24"/>
        </w:rPr>
      </w:pPr>
      <w:r>
        <w:rPr>
          <w:sz w:val="24"/>
          <w:szCs w:val="24"/>
        </w:rPr>
        <w:t>- открытые источники для объектов, имеющих широкий рынок (недвижимость, автомобили);</w:t>
      </w:r>
    </w:p>
    <w:p>
      <w:pPr>
        <w:pStyle w:val="Normal"/>
        <w:tabs>
          <w:tab w:val="clear" w:pos="708"/>
          <w:tab w:val="left" w:pos="180" w:leader="none"/>
        </w:tabs>
        <w:ind w:firstLine="709" w:end="0"/>
        <w:jc w:val="both"/>
        <w:rPr>
          <w:sz w:val="24"/>
          <w:szCs w:val="24"/>
        </w:rPr>
      </w:pPr>
      <w:r>
        <w:rPr>
          <w:sz w:val="24"/>
          <w:szCs w:val="24"/>
        </w:rPr>
        <w:t>- прочие обоснованные источники.</w:t>
      </w:r>
    </w:p>
    <w:p>
      <w:pPr>
        <w:pStyle w:val="Normal"/>
        <w:tabs>
          <w:tab w:val="clear" w:pos="708"/>
          <w:tab w:val="left" w:pos="180" w:leader="none"/>
        </w:tabs>
        <w:ind w:firstLine="709" w:end="0"/>
        <w:jc w:val="both"/>
        <w:rPr>
          <w:sz w:val="24"/>
          <w:szCs w:val="24"/>
        </w:rPr>
      </w:pPr>
      <w:r>
        <w:rPr>
          <w:sz w:val="24"/>
          <w:szCs w:val="24"/>
        </w:rPr>
        <w:t>По всем объектам основных средств, за исключением объектов, которые не подлежат амортизации, амортизация начисляется линейным способом.</w:t>
      </w:r>
    </w:p>
    <w:p>
      <w:pPr>
        <w:pStyle w:val="Normal"/>
        <w:tabs>
          <w:tab w:val="clear" w:pos="708"/>
          <w:tab w:val="left" w:pos="180" w:leader="none"/>
        </w:tabs>
        <w:ind w:firstLine="709" w:end="0"/>
        <w:jc w:val="both"/>
        <w:rPr>
          <w:sz w:val="24"/>
          <w:szCs w:val="24"/>
        </w:rPr>
      </w:pPr>
      <w:r>
        <w:rPr>
          <w:sz w:val="24"/>
          <w:szCs w:val="24"/>
        </w:rPr>
        <w:t>Элементы амортизации объекта основных средств подлежат проверке на соответствие условиям использования объекта основных средств. Такая проверка проводится комиссией (рабочей группой), созданной Приказом руководителя,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Комиссия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pPr>
        <w:pStyle w:val="Heading5"/>
        <w:ind w:firstLine="709" w:start="0" w:end="0"/>
        <w:jc w:val="both"/>
        <w:rPr>
          <w:sz w:val="24"/>
          <w:szCs w:val="24"/>
        </w:rPr>
      </w:pPr>
      <w:r>
        <w:rPr>
          <w:rFonts w:cs="Times New Roman" w:ascii="Times New Roman" w:hAnsi="Times New Roman"/>
          <w:b w:val="false"/>
          <w:i w:val="false"/>
          <w:sz w:val="24"/>
          <w:szCs w:val="24"/>
        </w:rPr>
        <w:t>Общество проводит проверку ОС на обесценение в порядке, установленном Международным стандартом финансовой отчетности (IAS) 36 "Обесценение активов".</w:t>
      </w:r>
    </w:p>
    <w:p>
      <w:pPr>
        <w:pStyle w:val="Normal"/>
        <w:tabs>
          <w:tab w:val="clear" w:pos="708"/>
          <w:tab w:val="left" w:pos="180" w:leader="none"/>
        </w:tabs>
        <w:ind w:firstLine="709" w:end="0"/>
        <w:jc w:val="both"/>
        <w:rPr>
          <w:sz w:val="24"/>
          <w:szCs w:val="24"/>
        </w:rPr>
      </w:pPr>
      <w:r>
        <w:rPr>
          <w:sz w:val="24"/>
          <w:szCs w:val="24"/>
        </w:rPr>
        <w:t xml:space="preserve">Начисление амортизации объекта основных средств начинается с месяца, следующего за месяцем его признания в бухгалтерском учете, и прекращается в месяце его списания с учета. </w:t>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Heading1"/>
        <w:ind w:hanging="0" w:start="0"/>
        <w:jc w:val="center"/>
        <w:rPr>
          <w:rFonts w:cs="Times New Roman"/>
          <w:sz w:val="24"/>
          <w:szCs w:val="24"/>
          <w:highlight w:val="yellow"/>
        </w:rPr>
      </w:pPr>
      <w:r>
        <w:rPr>
          <w:rFonts w:cs="Times New Roman" w:ascii="Times New Roman" w:hAnsi="Times New Roman"/>
          <w:sz w:val="24"/>
          <w:szCs w:val="24"/>
          <w:lang w:val="ru-RU"/>
        </w:rPr>
        <w:t>2.5.</w:t>
      </w:r>
      <w:r>
        <w:rPr>
          <w:rFonts w:cs="Times New Roman" w:ascii="Times New Roman" w:hAnsi="Times New Roman"/>
          <w:sz w:val="24"/>
          <w:szCs w:val="24"/>
        </w:rPr>
        <w:t xml:space="preserve"> Нематериальные активы.</w:t>
      </w:r>
    </w:p>
    <w:p>
      <w:pPr>
        <w:pStyle w:val="ConsPlusNormal"/>
        <w:ind w:firstLine="709" w:end="0"/>
        <w:jc w:val="both"/>
        <w:rPr>
          <w:rFonts w:cs="Times New Roman"/>
          <w:sz w:val="24"/>
          <w:szCs w:val="24"/>
          <w:highlight w:val="yellow"/>
        </w:rPr>
      </w:pPr>
      <w:r>
        <w:rPr>
          <w:rFonts w:cs="Times New Roman"/>
          <w:sz w:val="24"/>
          <w:szCs w:val="24"/>
          <w:highlight w:val="yellow"/>
        </w:rPr>
      </w:r>
    </w:p>
    <w:p>
      <w:pPr>
        <w:pStyle w:val="Normal"/>
        <w:ind w:firstLine="709" w:end="0"/>
        <w:jc w:val="both"/>
        <w:rPr>
          <w:sz w:val="24"/>
          <w:szCs w:val="24"/>
        </w:rPr>
      </w:pPr>
      <w:r>
        <w:rPr>
          <w:sz w:val="24"/>
          <w:szCs w:val="24"/>
        </w:rPr>
        <w:t xml:space="preserve">  </w:t>
      </w:r>
      <w:r>
        <w:rPr>
          <w:sz w:val="24"/>
          <w:szCs w:val="24"/>
        </w:rPr>
        <w:t>Общество применяет Федеральный стандарт бухгалтерского учета 14/2022 «Нематериальные активы» (далее – ФСБУ 14/2022), утвержденный Приказом Минфина России от 30.05.2022 N 86н, начиная с бухгалтерской (финансовой) отчетности за 2024 год альтернативным (модифицированным) способом (п. 53 ФСБУ 14/2022).</w:t>
      </w:r>
    </w:p>
    <w:p>
      <w:pPr>
        <w:pStyle w:val="Style27"/>
        <w:ind w:firstLine="709" w:start="0" w:end="0"/>
        <w:jc w:val="both"/>
        <w:rPr>
          <w:sz w:val="24"/>
          <w:szCs w:val="24"/>
        </w:rPr>
      </w:pPr>
      <w:r>
        <w:rPr>
          <w:sz w:val="24"/>
          <w:szCs w:val="24"/>
        </w:rPr>
        <w:t xml:space="preserve">  </w:t>
      </w:r>
      <w:r>
        <w:rPr>
          <w:sz w:val="24"/>
          <w:szCs w:val="24"/>
        </w:rPr>
        <w:t>В бухгалтерской (финансовой) отчетности за первый отчетный период применения ФСБУ 14/2022 Общество не пересчитывает сравнительные показатели за периоды, предшествующие отчетному. При этом проводится единовременная корректировка балансовой стоимости НМА на начало отчетного периода (в межотчетный период) в соответствии с переходными положениями ФСБУ 14/2022 «Нематериальные активы». Аналогичный порядок применяется в отношении капитальных вложений в НМА.</w:t>
      </w:r>
    </w:p>
    <w:p>
      <w:pPr>
        <w:pStyle w:val="Normal"/>
        <w:ind w:firstLine="709" w:end="0"/>
        <w:jc w:val="both"/>
        <w:rPr>
          <w:sz w:val="24"/>
          <w:szCs w:val="24"/>
        </w:rPr>
      </w:pPr>
      <w:r>
        <w:rPr>
          <w:sz w:val="24"/>
          <w:szCs w:val="24"/>
        </w:rPr>
        <w:t>Объектом нематериальных активов считается актив, характеризующийся одновременно признаками, установленными п.4 ФСБУ 14/2022.</w:t>
      </w:r>
    </w:p>
    <w:p>
      <w:pPr>
        <w:pStyle w:val="Normal"/>
        <w:ind w:firstLine="709" w:end="0"/>
        <w:jc w:val="both"/>
        <w:rPr>
          <w:sz w:val="24"/>
          <w:szCs w:val="24"/>
        </w:rPr>
      </w:pPr>
      <w:r>
        <w:rPr>
          <w:sz w:val="24"/>
          <w:szCs w:val="24"/>
        </w:rPr>
        <w:t xml:space="preserve"> </w:t>
      </w:r>
      <w:r>
        <w:rPr>
          <w:sz w:val="24"/>
          <w:szCs w:val="24"/>
        </w:rPr>
        <w:t>Датой принятия объекта к учету в составе нематериальных активов является дата, на которую объект капитальных вложений приведен в состояние и местоположение, в которых он пригоден к использованию в запланированных целях. В случае фактического начала эксплуатации части объекта капитальных вложений до завершения капитальных вложений в целом, Общество признает такую часть капитальных вложений объектом нематериальных активов.</w:t>
      </w:r>
    </w:p>
    <w:p>
      <w:pPr>
        <w:pStyle w:val="Style27"/>
        <w:ind w:firstLine="709" w:start="0" w:end="0"/>
        <w:jc w:val="both"/>
        <w:rPr>
          <w:sz w:val="24"/>
          <w:szCs w:val="24"/>
        </w:rPr>
      </w:pPr>
      <w:r>
        <w:rPr>
          <w:sz w:val="24"/>
          <w:szCs w:val="24"/>
        </w:rPr>
        <w:t>Общество не производит переоценку нематериальных активов (п. 15 ФСБУ 14/2022).</w:t>
      </w:r>
    </w:p>
    <w:p>
      <w:pPr>
        <w:pStyle w:val="Style27"/>
        <w:ind w:firstLine="709" w:start="0" w:end="0"/>
        <w:jc w:val="both"/>
        <w:rPr>
          <w:sz w:val="24"/>
          <w:szCs w:val="24"/>
        </w:rPr>
      </w:pPr>
      <w:r>
        <w:rPr>
          <w:sz w:val="24"/>
          <w:szCs w:val="24"/>
        </w:rPr>
        <w:t>Общество не проверяет нематериальные активы на обесценение  в соответствии с МСФО (IAS) 36 «Обесценение активов»:</w:t>
      </w:r>
    </w:p>
    <w:p>
      <w:pPr>
        <w:pStyle w:val="Normal"/>
        <w:spacing w:lineRule="auto" w:line="276"/>
        <w:jc w:val="both"/>
        <w:rPr>
          <w:sz w:val="24"/>
          <w:szCs w:val="24"/>
        </w:rPr>
      </w:pPr>
      <w:r>
        <w:rPr>
          <w:sz w:val="24"/>
          <w:szCs w:val="24"/>
        </w:rPr>
        <w:tab/>
        <w:tab/>
      </w:r>
    </w:p>
    <w:p>
      <w:pPr>
        <w:pStyle w:val="Heading1"/>
        <w:ind w:hanging="0" w:start="0"/>
        <w:jc w:val="center"/>
        <w:rPr>
          <w:rFonts w:cs="Times New Roman"/>
          <w:sz w:val="24"/>
          <w:szCs w:val="24"/>
        </w:rPr>
      </w:pPr>
      <w:r>
        <w:rPr>
          <w:rFonts w:cs="Times New Roman" w:ascii="Times New Roman" w:hAnsi="Times New Roman"/>
          <w:sz w:val="24"/>
          <w:szCs w:val="24"/>
          <w:lang w:val="ru-RU"/>
        </w:rPr>
        <w:t>2.6</w:t>
      </w:r>
      <w:r>
        <w:rPr>
          <w:rFonts w:cs="Times New Roman" w:ascii="Times New Roman" w:hAnsi="Times New Roman"/>
          <w:sz w:val="24"/>
          <w:szCs w:val="24"/>
        </w:rPr>
        <w:t xml:space="preserve"> Финансовые вложения.</w:t>
      </w:r>
    </w:p>
    <w:p>
      <w:pPr>
        <w:pStyle w:val="Normal"/>
        <w:ind w:firstLine="360" w:end="0"/>
        <w:jc w:val="both"/>
        <w:rPr>
          <w:rFonts w:cs="Times New Roman"/>
          <w:b/>
          <w:bCs/>
          <w:sz w:val="24"/>
          <w:szCs w:val="24"/>
        </w:rPr>
      </w:pPr>
      <w:r>
        <w:rPr>
          <w:rFonts w:cs="Times New Roman"/>
          <w:b/>
          <w:bCs/>
          <w:sz w:val="24"/>
          <w:szCs w:val="24"/>
        </w:rPr>
      </w:r>
    </w:p>
    <w:p>
      <w:pPr>
        <w:pStyle w:val="Normal"/>
        <w:autoSpaceDE w:val="false"/>
        <w:ind w:firstLine="709" w:end="0"/>
        <w:jc w:val="both"/>
        <w:rPr>
          <w:sz w:val="24"/>
          <w:szCs w:val="24"/>
        </w:rPr>
      </w:pPr>
      <w:r>
        <w:rPr>
          <w:sz w:val="24"/>
          <w:szCs w:val="24"/>
        </w:rPr>
        <w:t xml:space="preserve">Учет финансовых вложений осуществляется в соответствии с ПБУ 19/02 «Учет финансовых вложений». </w:t>
      </w:r>
    </w:p>
    <w:p>
      <w:pPr>
        <w:pStyle w:val="Normal"/>
        <w:autoSpaceDE w:val="false"/>
        <w:ind w:firstLine="709" w:end="0"/>
        <w:jc w:val="both"/>
        <w:rPr>
          <w:sz w:val="24"/>
          <w:szCs w:val="24"/>
        </w:rPr>
      </w:pPr>
      <w:r>
        <w:rPr>
          <w:sz w:val="24"/>
          <w:szCs w:val="24"/>
        </w:rPr>
        <w:t>Первоначальной стоимостью финансовых вложений, приобретенных за плату, признается сумма фактических затрат организации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pPr>
        <w:pStyle w:val="Normal"/>
        <w:autoSpaceDE w:val="false"/>
        <w:ind w:firstLine="709" w:end="0"/>
        <w:jc w:val="both"/>
        <w:rPr>
          <w:sz w:val="24"/>
          <w:szCs w:val="24"/>
        </w:rPr>
      </w:pPr>
      <w:r>
        <w:rPr>
          <w:sz w:val="24"/>
          <w:szCs w:val="24"/>
        </w:rPr>
        <w:t>По долговым ценным бумагам и предоставленным займам расчет оценки по дисконтированной стоимости не производится.</w:t>
      </w:r>
    </w:p>
    <w:p>
      <w:pPr>
        <w:pStyle w:val="Normal"/>
        <w:autoSpaceDE w:val="false"/>
        <w:ind w:firstLine="709" w:end="0"/>
        <w:jc w:val="both"/>
        <w:rPr>
          <w:sz w:val="24"/>
          <w:szCs w:val="24"/>
        </w:rPr>
      </w:pPr>
      <w:r>
        <w:rPr>
          <w:sz w:val="24"/>
          <w:szCs w:val="24"/>
        </w:rPr>
        <w:t>При выбытии актива, принятого к бухгалтерскому учету в качестве финансовых вложений, по которому не определяется текущая рыночная стоимость, его стоимость определяется:</w:t>
      </w:r>
    </w:p>
    <w:p>
      <w:pPr>
        <w:pStyle w:val="Normal"/>
        <w:autoSpaceDE w:val="false"/>
        <w:ind w:firstLine="709" w:end="0"/>
        <w:jc w:val="both"/>
        <w:rPr>
          <w:sz w:val="24"/>
          <w:szCs w:val="24"/>
        </w:rPr>
      </w:pPr>
      <w:r>
        <w:rPr>
          <w:sz w:val="24"/>
          <w:szCs w:val="24"/>
        </w:rPr>
        <w:t>- для ценных бумаг - по первоначальной стоимости первых по времени приобретения финансовых вложений (способ ФИФО).  В течение месяца применяется способ скользящей ФИФО: на каждую дату выбытия остаток ценных бумаг оценивается по стоимости ценных бумаг на дату предшествующей операции;</w:t>
      </w:r>
    </w:p>
    <w:p>
      <w:pPr>
        <w:pStyle w:val="Normal"/>
        <w:autoSpaceDE w:val="false"/>
        <w:ind w:firstLine="709" w:end="0"/>
        <w:jc w:val="both"/>
        <w:rPr>
          <w:sz w:val="24"/>
          <w:szCs w:val="24"/>
        </w:rPr>
      </w:pPr>
      <w:r>
        <w:rPr>
          <w:sz w:val="24"/>
          <w:szCs w:val="24"/>
        </w:rPr>
        <w:t>- для вкладов в уставные (складочные) капиталы (кроме акций); предоставленных займов; депозитных вкладов в кредитных организациях; дебиторской задолженности, приобретенной на основании уступки права требования -  по первоначальной стоимости каждой единицы бухгалтерского учета.</w:t>
      </w:r>
    </w:p>
    <w:p>
      <w:pPr>
        <w:pStyle w:val="Normal"/>
        <w:autoSpaceDE w:val="false"/>
        <w:ind w:firstLine="709" w:end="0"/>
        <w:jc w:val="both"/>
        <w:rPr>
          <w:sz w:val="24"/>
          <w:szCs w:val="24"/>
        </w:rPr>
      </w:pPr>
      <w:r>
        <w:rPr>
          <w:sz w:val="24"/>
          <w:szCs w:val="24"/>
        </w:rPr>
        <w:t>При выбытии активов, принятых к бухгалтерскому учету в качестве финансовых вложений, по которым определяется текущая рыночная стоимость, их стоимость определяется Обществом исходя из последней оценки.</w:t>
      </w:r>
    </w:p>
    <w:p>
      <w:pPr>
        <w:pStyle w:val="Normal"/>
        <w:tabs>
          <w:tab w:val="clear" w:pos="708"/>
          <w:tab w:val="left" w:pos="993" w:leader="none"/>
        </w:tabs>
        <w:ind w:firstLine="709" w:end="0"/>
        <w:jc w:val="both"/>
        <w:rPr>
          <w:i/>
          <w:i/>
          <w:sz w:val="24"/>
          <w:szCs w:val="24"/>
          <w:highlight w:val="yellow"/>
        </w:rPr>
      </w:pPr>
      <w:r>
        <w:rPr>
          <w:sz w:val="24"/>
          <w:szCs w:val="24"/>
        </w:rPr>
        <w:t xml:space="preserve"> </w:t>
      </w:r>
      <w:r>
        <w:rPr>
          <w:sz w:val="24"/>
          <w:szCs w:val="24"/>
        </w:rPr>
        <w:t>По состоянию на 31 декабря отчетного года организация проводит ежегодную проверку на обесценение финансовых вложений.</w:t>
      </w:r>
    </w:p>
    <w:p>
      <w:pPr>
        <w:pStyle w:val="Heading1"/>
        <w:ind w:hanging="0" w:start="0"/>
        <w:jc w:val="center"/>
        <w:rPr>
          <w:rFonts w:ascii="Times New Roman" w:hAnsi="Times New Roman" w:cs="Times New Roman"/>
          <w:i/>
          <w:i/>
          <w:sz w:val="24"/>
          <w:szCs w:val="24"/>
          <w:highlight w:val="yellow"/>
          <w:lang w:val="ru-RU"/>
        </w:rPr>
      </w:pPr>
      <w:r>
        <w:rPr>
          <w:rFonts w:cs="Times New Roman" w:ascii="Times New Roman" w:hAnsi="Times New Roman"/>
          <w:i/>
          <w:sz w:val="24"/>
          <w:szCs w:val="24"/>
          <w:highlight w:val="yellow"/>
          <w:lang w:val="ru-RU"/>
        </w:rPr>
      </w:r>
    </w:p>
    <w:p>
      <w:pPr>
        <w:pStyle w:val="Heading1"/>
        <w:ind w:hanging="0" w:start="0"/>
        <w:jc w:val="center"/>
        <w:rPr>
          <w:rFonts w:cs="Times New Roman"/>
          <w:sz w:val="24"/>
          <w:szCs w:val="24"/>
          <w:lang w:val="ru-RU"/>
        </w:rPr>
      </w:pPr>
      <w:r>
        <w:rPr>
          <w:rFonts w:cs="Times New Roman" w:ascii="Times New Roman" w:hAnsi="Times New Roman"/>
          <w:sz w:val="24"/>
          <w:szCs w:val="24"/>
          <w:lang w:val="ru-RU"/>
        </w:rPr>
        <w:t>2.7. Запасы</w:t>
      </w:r>
    </w:p>
    <w:p>
      <w:pPr>
        <w:pStyle w:val="Normal"/>
        <w:autoSpaceDE w:val="false"/>
        <w:ind w:firstLine="709" w:end="0"/>
        <w:jc w:val="both"/>
        <w:rPr>
          <w:rFonts w:cs="Times New Roman"/>
          <w:sz w:val="24"/>
          <w:szCs w:val="24"/>
          <w:lang w:val="ru-RU"/>
        </w:rPr>
      </w:pPr>
      <w:r>
        <w:rPr>
          <w:rFonts w:cs="Times New Roman"/>
          <w:sz w:val="24"/>
          <w:szCs w:val="24"/>
          <w:lang w:val="ru-RU"/>
        </w:rPr>
      </w:r>
    </w:p>
    <w:p>
      <w:pPr>
        <w:pStyle w:val="Normal"/>
        <w:ind w:firstLine="709" w:end="0"/>
        <w:jc w:val="both"/>
        <w:rPr>
          <w:sz w:val="24"/>
          <w:szCs w:val="24"/>
        </w:rPr>
      </w:pPr>
      <w:r>
        <w:rPr>
          <w:sz w:val="24"/>
          <w:szCs w:val="24"/>
        </w:rPr>
        <w:t xml:space="preserve"> </w:t>
      </w:r>
      <w:r>
        <w:rPr>
          <w:sz w:val="24"/>
          <w:szCs w:val="24"/>
        </w:rPr>
        <w:t xml:space="preserve">Учет запасов производится в соответствии с ФСБУ 5/2019 «Запасы», утв. Приказом Минфина России от 15.11.2019 № 180н, начиная с отчетности 2021. </w:t>
      </w:r>
    </w:p>
    <w:p>
      <w:pPr>
        <w:pStyle w:val="Normal"/>
        <w:ind w:firstLine="709" w:end="0"/>
        <w:jc w:val="both"/>
        <w:rPr>
          <w:sz w:val="24"/>
          <w:szCs w:val="24"/>
        </w:rPr>
      </w:pPr>
      <w:r>
        <w:rPr>
          <w:sz w:val="24"/>
          <w:szCs w:val="24"/>
        </w:rPr>
        <w:t xml:space="preserve">   </w:t>
      </w:r>
      <w:r>
        <w:rPr>
          <w:sz w:val="24"/>
          <w:szCs w:val="24"/>
        </w:rPr>
        <w:t>Для целей бухгалтерского учета запасами считаются активы, используемые в течение периода не более 12 месяцев, потребляемые или продаваемые в рамках обычного операционного цикла.</w:t>
      </w:r>
    </w:p>
    <w:p>
      <w:pPr>
        <w:pStyle w:val="Normal"/>
        <w:ind w:firstLine="709" w:end="0"/>
        <w:jc w:val="both"/>
        <w:rPr>
          <w:sz w:val="24"/>
          <w:szCs w:val="24"/>
        </w:rPr>
      </w:pPr>
      <w:r>
        <w:rPr>
          <w:sz w:val="24"/>
          <w:szCs w:val="24"/>
        </w:rPr>
        <w:t xml:space="preserve">     </w:t>
      </w:r>
      <w:r>
        <w:rPr>
          <w:sz w:val="24"/>
          <w:szCs w:val="24"/>
        </w:rPr>
        <w:t>Запасами, в частности, являются:</w:t>
      </w:r>
    </w:p>
    <w:p>
      <w:pPr>
        <w:pStyle w:val="Normal"/>
        <w:ind w:firstLine="709" w:end="0"/>
        <w:jc w:val="both"/>
        <w:rPr>
          <w:sz w:val="24"/>
          <w:szCs w:val="24"/>
        </w:rPr>
      </w:pPr>
      <w:r>
        <w:rPr>
          <w:sz w:val="24"/>
          <w:szCs w:val="24"/>
        </w:rPr>
        <w:t xml:space="preserve">     </w:t>
      </w:r>
      <w:r>
        <w:rPr>
          <w:sz w:val="24"/>
          <w:szCs w:val="24"/>
        </w:rPr>
        <w:t>а) сырье, материалы, топливо, запасные части, комплектующие изделия, покупные полуфабрикаты, предназначенные для использования при производстве продукции, выполнении работ, оказании услуг;</w:t>
      </w:r>
    </w:p>
    <w:p>
      <w:pPr>
        <w:pStyle w:val="Normal"/>
        <w:ind w:firstLine="709" w:end="0"/>
        <w:jc w:val="both"/>
        <w:rPr>
          <w:sz w:val="24"/>
          <w:szCs w:val="24"/>
        </w:rPr>
      </w:pPr>
      <w:bookmarkStart w:id="0" w:name="P56"/>
      <w:bookmarkEnd w:id="0"/>
      <w:r>
        <w:rPr>
          <w:sz w:val="24"/>
          <w:szCs w:val="24"/>
        </w:rPr>
        <w:t xml:space="preserve">     </w:t>
      </w:r>
      <w:r>
        <w:rPr>
          <w:sz w:val="24"/>
          <w:szCs w:val="24"/>
        </w:rPr>
        <w:t>б) инструменты, инвентарь, специальная одежда, специальная оснастка (специальные приспособления, специальные инструменты, специальное оборудование), тара и другие аналогичные объекты, используемые при производстве продукции, продаже товаров, выполнении работ, оказании услуг, за исключением случаев, когда указанные объекты считаются для целей бухгалтерского учета основными средствами;</w:t>
      </w:r>
    </w:p>
    <w:p>
      <w:pPr>
        <w:pStyle w:val="Normal"/>
        <w:ind w:firstLine="709" w:end="0"/>
        <w:jc w:val="both"/>
        <w:rPr/>
      </w:pPr>
      <w:r>
        <w:rPr>
          <w:sz w:val="24"/>
          <w:szCs w:val="24"/>
        </w:rPr>
        <w:t xml:space="preserve">     </w:t>
      </w:r>
      <w:r>
        <w:rPr>
          <w:sz w:val="24"/>
          <w:szCs w:val="24"/>
        </w:rPr>
        <w:t>в) готовая продукция</w:t>
      </w:r>
      <w:r>
        <w:rPr>
          <w:b/>
          <w:sz w:val="24"/>
          <w:szCs w:val="24"/>
        </w:rPr>
        <w:t xml:space="preserve"> </w:t>
      </w:r>
      <w:r>
        <w:rPr>
          <w:sz w:val="24"/>
          <w:szCs w:val="24"/>
        </w:rPr>
        <w:t>(конечный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 предназначенная для продажи в ходе обычной деятельности Общества;</w:t>
      </w:r>
    </w:p>
    <w:p>
      <w:pPr>
        <w:pStyle w:val="Normal"/>
        <w:ind w:firstLine="709" w:end="0"/>
        <w:jc w:val="both"/>
        <w:rPr>
          <w:sz w:val="24"/>
          <w:szCs w:val="24"/>
        </w:rPr>
      </w:pPr>
      <w:r>
        <w:rPr>
          <w:sz w:val="24"/>
          <w:szCs w:val="24"/>
        </w:rPr>
        <w:t xml:space="preserve">     </w:t>
      </w:r>
      <w:r>
        <w:rPr>
          <w:sz w:val="24"/>
          <w:szCs w:val="24"/>
        </w:rPr>
        <w:t>г) товары, приобретенные у других лиц и предназначенные для продажи в ходе обычной деятельности организации.</w:t>
      </w:r>
    </w:p>
    <w:p>
      <w:pPr>
        <w:pStyle w:val="Normal"/>
        <w:ind w:firstLine="709" w:end="0"/>
        <w:jc w:val="both"/>
        <w:rPr>
          <w:sz w:val="24"/>
          <w:szCs w:val="24"/>
        </w:rPr>
      </w:pPr>
      <w:r>
        <w:rPr>
          <w:sz w:val="24"/>
          <w:szCs w:val="24"/>
        </w:rPr>
        <w:t xml:space="preserve">     </w:t>
      </w:r>
      <w:r>
        <w:rPr>
          <w:sz w:val="24"/>
          <w:szCs w:val="24"/>
        </w:rPr>
        <w:t>д) объекты недвижимого имущества, приобретенные или созданные (находящиеся в процессе создания) для продажи в ходе обычной деятельности организации;</w:t>
      </w:r>
    </w:p>
    <w:p>
      <w:pPr>
        <w:pStyle w:val="Normal"/>
        <w:ind w:firstLine="709" w:end="0"/>
        <w:jc w:val="both"/>
        <w:rPr>
          <w:sz w:val="24"/>
          <w:szCs w:val="24"/>
        </w:rPr>
      </w:pPr>
      <w:r>
        <w:rPr>
          <w:sz w:val="24"/>
          <w:szCs w:val="24"/>
        </w:rPr>
        <w:t xml:space="preserve">     </w:t>
      </w:r>
      <w:r>
        <w:rPr>
          <w:sz w:val="24"/>
          <w:szCs w:val="24"/>
        </w:rPr>
        <w:t>ж) объекты интеллектуальной собственности, приобретенные или созданные (находящиеся в процессе создания) для продажи в ходе обычной деятельности организации.</w:t>
      </w:r>
    </w:p>
    <w:p>
      <w:pPr>
        <w:pStyle w:val="Normal"/>
        <w:ind w:firstLine="709" w:end="0"/>
        <w:jc w:val="both"/>
        <w:rPr>
          <w:sz w:val="24"/>
          <w:szCs w:val="24"/>
        </w:rPr>
      </w:pPr>
      <w:r>
        <w:rPr>
          <w:sz w:val="24"/>
          <w:szCs w:val="24"/>
        </w:rPr>
        <w:t>Запасы признаются в бухгалтерском учете при одновременном соблюдении следующих условий:</w:t>
      </w:r>
    </w:p>
    <w:p>
      <w:pPr>
        <w:pStyle w:val="Normal"/>
        <w:ind w:firstLine="709" w:end="0"/>
        <w:jc w:val="both"/>
        <w:rPr>
          <w:sz w:val="24"/>
          <w:szCs w:val="24"/>
        </w:rPr>
      </w:pPr>
      <w:r>
        <w:rPr>
          <w:sz w:val="24"/>
          <w:szCs w:val="24"/>
        </w:rPr>
        <w:t xml:space="preserve">     </w:t>
      </w:r>
      <w:r>
        <w:rPr>
          <w:sz w:val="24"/>
          <w:szCs w:val="24"/>
        </w:rPr>
        <w:t>а) затраты, понесенные в связи с приобретением или созданием запасов, обеспечат получение в будущем экономических выгод Обществом;</w:t>
      </w:r>
    </w:p>
    <w:p>
      <w:pPr>
        <w:pStyle w:val="Normal"/>
        <w:ind w:firstLine="709" w:end="0"/>
        <w:jc w:val="both"/>
        <w:rPr>
          <w:sz w:val="24"/>
          <w:szCs w:val="24"/>
        </w:rPr>
      </w:pPr>
      <w:r>
        <w:rPr>
          <w:sz w:val="24"/>
          <w:szCs w:val="24"/>
        </w:rPr>
        <w:t xml:space="preserve">     </w:t>
      </w:r>
      <w:r>
        <w:rPr>
          <w:sz w:val="24"/>
          <w:szCs w:val="24"/>
        </w:rPr>
        <w:t>б) определена сумма затрат, понесенных в связи с приобретением или созданием запасов, или приравненная к ней величина.</w:t>
      </w:r>
    </w:p>
    <w:p>
      <w:pPr>
        <w:pStyle w:val="Normal"/>
        <w:ind w:firstLine="709" w:end="0"/>
        <w:jc w:val="both"/>
        <w:rPr>
          <w:sz w:val="24"/>
          <w:szCs w:val="24"/>
        </w:rPr>
      </w:pPr>
      <w:r>
        <w:rPr>
          <w:sz w:val="24"/>
          <w:szCs w:val="24"/>
        </w:rPr>
        <w:t xml:space="preserve">   </w:t>
      </w:r>
      <w:r>
        <w:rPr>
          <w:sz w:val="24"/>
          <w:szCs w:val="24"/>
        </w:rPr>
        <w:t>В фактическую себестоимость запасов, кроме незавершенного производства и готовой продукции, включаются фактические затраты на приобретение (создание) запасов, приведение их в состояние и местоположение, необходимые для потребления, продажи или использования.</w:t>
      </w:r>
    </w:p>
    <w:p>
      <w:pPr>
        <w:pStyle w:val="Normal"/>
        <w:ind w:firstLine="709" w:end="0"/>
        <w:jc w:val="both"/>
        <w:rPr>
          <w:sz w:val="24"/>
          <w:szCs w:val="24"/>
        </w:rPr>
      </w:pPr>
      <w:r>
        <w:rPr>
          <w:sz w:val="24"/>
          <w:szCs w:val="24"/>
        </w:rPr>
        <w:t xml:space="preserve">  </w:t>
      </w:r>
      <w:r>
        <w:rPr>
          <w:sz w:val="24"/>
          <w:szCs w:val="24"/>
        </w:rPr>
        <w:t xml:space="preserve">Фактическая себестоимость готовой продукции рассчитывается по прямым расходам (учитываемым на счете 20), а также по расходам вспомогательных производств (списанных в дебет счета 20 с кредита счета 23) и общепроизводственным расходам (списываемым в дебет счета 20 с кредита счета 25). </w:t>
      </w:r>
    </w:p>
    <w:p>
      <w:pPr>
        <w:pStyle w:val="Normal"/>
        <w:ind w:firstLine="709" w:end="0"/>
        <w:jc w:val="both"/>
        <w:rPr>
          <w:sz w:val="24"/>
          <w:szCs w:val="24"/>
        </w:rPr>
      </w:pPr>
      <w:r>
        <w:rPr>
          <w:sz w:val="24"/>
          <w:szCs w:val="24"/>
        </w:rPr>
        <w:t xml:space="preserve">  </w:t>
      </w:r>
      <w:r>
        <w:rPr>
          <w:sz w:val="24"/>
          <w:szCs w:val="24"/>
        </w:rPr>
        <w:t xml:space="preserve">В себестоимость незавершенного производства (НЗП) включаются прямые затраты, прямо относящиеся к производству конкретного вида НЗП. </w:t>
      </w:r>
    </w:p>
    <w:p>
      <w:pPr>
        <w:pStyle w:val="Normal"/>
        <w:ind w:firstLine="709" w:end="0"/>
        <w:jc w:val="both"/>
        <w:rPr>
          <w:sz w:val="24"/>
          <w:szCs w:val="24"/>
        </w:rPr>
      </w:pPr>
      <w:r>
        <w:rPr>
          <w:sz w:val="24"/>
          <w:szCs w:val="24"/>
        </w:rPr>
        <w:t xml:space="preserve">  </w:t>
      </w:r>
      <w:r>
        <w:rPr>
          <w:sz w:val="24"/>
          <w:szCs w:val="24"/>
        </w:rPr>
        <w:t>Транспортно-заготовительные расходы, суммы по которым не представляется возможным отнести непосредственно к конкретной партии приобретенных запасов, в течение месяца накапливаются на отдельном субсчете к счету 10 «Материалы». По итогам месяца общая сумма таких расходов распределяется на номенклатуры материалов пропорционально стоимости оприходованных материалов.</w:t>
      </w:r>
    </w:p>
    <w:p>
      <w:pPr>
        <w:pStyle w:val="Normal"/>
        <w:ind w:firstLine="709" w:end="0"/>
        <w:jc w:val="both"/>
        <w:rPr>
          <w:color w:val="464C55"/>
          <w:sz w:val="32"/>
          <w:szCs w:val="32"/>
          <w:shd w:fill="FFFFFF" w:val="clear"/>
        </w:rPr>
      </w:pPr>
      <w:r>
        <w:rPr>
          <w:sz w:val="24"/>
          <w:szCs w:val="24"/>
        </w:rPr>
        <w:t xml:space="preserve">  </w:t>
      </w:r>
      <w:r>
        <w:rPr>
          <w:sz w:val="24"/>
          <w:szCs w:val="24"/>
        </w:rPr>
        <w:t xml:space="preserve">В соответствии с ФСБУ 5/2019 "Запасы" организация, по состоянию на 31 декабря отчетного года, проводит  оценку  чистой  стоимости  запасов. В случае </w:t>
      </w:r>
      <w:r>
        <w:rPr>
          <w:color w:val="464C55"/>
          <w:sz w:val="24"/>
          <w:szCs w:val="24"/>
          <w:shd w:fill="FFFFFF" w:val="clear"/>
        </w:rPr>
        <w:t>обесценения запасов, организация создает резерв под обесценение, в размере превышения фактической себестоимости запасов над их чистой стоимостью возможной продажи.</w:t>
      </w:r>
    </w:p>
    <w:p>
      <w:pPr>
        <w:pStyle w:val="Normal"/>
        <w:ind w:firstLine="709" w:end="0"/>
        <w:jc w:val="both"/>
        <w:rPr>
          <w:sz w:val="24"/>
          <w:szCs w:val="24"/>
        </w:rPr>
      </w:pPr>
      <w:r>
        <w:rPr>
          <w:color w:val="464C55"/>
          <w:sz w:val="32"/>
          <w:szCs w:val="32"/>
          <w:shd w:fill="FFFFFF" w:val="clear"/>
        </w:rPr>
        <w:t> </w:t>
      </w:r>
    </w:p>
    <w:p>
      <w:pPr>
        <w:pStyle w:val="Heading1"/>
        <w:ind w:hanging="0" w:start="0"/>
        <w:jc w:val="center"/>
        <w:rPr>
          <w:rFonts w:cs="Times New Roman"/>
          <w:sz w:val="24"/>
          <w:szCs w:val="24"/>
        </w:rPr>
      </w:pPr>
      <w:r>
        <w:rPr>
          <w:rFonts w:cs="Times New Roman" w:ascii="Times New Roman" w:hAnsi="Times New Roman"/>
          <w:sz w:val="24"/>
          <w:szCs w:val="24"/>
          <w:lang w:val="ru-RU"/>
        </w:rPr>
        <w:t xml:space="preserve">2.8. </w:t>
      </w:r>
      <w:r>
        <w:rPr>
          <w:rFonts w:cs="Times New Roman" w:ascii="Times New Roman" w:hAnsi="Times New Roman"/>
          <w:sz w:val="24"/>
          <w:szCs w:val="24"/>
        </w:rPr>
        <w:t>Создание резервов по сомнительным долгам .</w:t>
      </w:r>
    </w:p>
    <w:p>
      <w:pPr>
        <w:pStyle w:val="Normal"/>
        <w:autoSpaceDE w:val="false"/>
        <w:ind w:firstLine="709" w:end="0"/>
        <w:jc w:val="both"/>
        <w:rPr>
          <w:rFonts w:cs="Times New Roman"/>
          <w:sz w:val="24"/>
          <w:szCs w:val="24"/>
        </w:rPr>
      </w:pPr>
      <w:r>
        <w:rPr>
          <w:rFonts w:cs="Times New Roman"/>
          <w:sz w:val="24"/>
          <w:szCs w:val="24"/>
        </w:rPr>
      </w:r>
    </w:p>
    <w:p>
      <w:pPr>
        <w:pStyle w:val="Normal"/>
        <w:autoSpaceDE w:val="false"/>
        <w:ind w:firstLine="709" w:end="0"/>
        <w:jc w:val="both"/>
        <w:rPr>
          <w:sz w:val="24"/>
          <w:szCs w:val="24"/>
        </w:rPr>
      </w:pPr>
      <w:r>
        <w:rPr>
          <w:sz w:val="24"/>
          <w:szCs w:val="24"/>
        </w:rPr>
        <w:t>В соответствии с пунктом 70 Приказа Минфина РФ от 29.07.1998 № 34н, в случае признания дебиторской задолженности сомнительной организация создает резервы по каждому сомнительному долгу.</w:t>
      </w:r>
    </w:p>
    <w:p>
      <w:pPr>
        <w:pStyle w:val="Normal"/>
        <w:autoSpaceDE w:val="false"/>
        <w:ind w:firstLine="709" w:end="0"/>
        <w:jc w:val="both"/>
        <w:rPr>
          <w:sz w:val="24"/>
          <w:szCs w:val="24"/>
        </w:rPr>
      </w:pPr>
      <w:r>
        <w:rPr>
          <w:sz w:val="24"/>
          <w:szCs w:val="24"/>
        </w:rPr>
        <w:t xml:space="preserve">Сомнительной считается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 (включая авансы выданные). В состав сомнительных долгов не включаются безнадежные долги и долги, нереальные для взыскания. </w:t>
      </w:r>
    </w:p>
    <w:p>
      <w:pPr>
        <w:pStyle w:val="Normal"/>
        <w:autoSpaceDE w:val="false"/>
        <w:ind w:firstLine="709" w:end="0"/>
        <w:jc w:val="both"/>
        <w:rPr>
          <w:sz w:val="24"/>
          <w:szCs w:val="24"/>
        </w:rPr>
      </w:pPr>
      <w:r>
        <w:rPr>
          <w:sz w:val="24"/>
          <w:szCs w:val="24"/>
        </w:rPr>
        <w:t xml:space="preserve">По каждой выявленной сомнительной задолженности на 31 декабря отчетного года организация формирует резерв в сумме 100 % дебиторской задолженности с учетом НДС. </w:t>
      </w:r>
    </w:p>
    <w:p>
      <w:pPr>
        <w:pStyle w:val="Normal"/>
        <w:autoSpaceDE w:val="false"/>
        <w:ind w:firstLine="709" w:end="0"/>
        <w:jc w:val="both"/>
        <w:rPr>
          <w:sz w:val="24"/>
          <w:szCs w:val="24"/>
        </w:rPr>
      </w:pPr>
      <w:r>
        <w:rPr>
          <w:sz w:val="24"/>
          <w:szCs w:val="24"/>
        </w:rPr>
      </w:r>
    </w:p>
    <w:p>
      <w:pPr>
        <w:pStyle w:val="Heading1"/>
        <w:ind w:hanging="0" w:start="0"/>
        <w:jc w:val="center"/>
        <w:rPr>
          <w:rFonts w:cs="Times New Roman"/>
          <w:sz w:val="24"/>
          <w:szCs w:val="24"/>
        </w:rPr>
      </w:pPr>
      <w:r>
        <w:rPr>
          <w:rFonts w:cs="Times New Roman" w:ascii="Times New Roman" w:hAnsi="Times New Roman"/>
          <w:sz w:val="24"/>
          <w:szCs w:val="24"/>
          <w:lang w:val="ru-RU"/>
        </w:rPr>
        <w:t xml:space="preserve">2.9. </w:t>
      </w:r>
      <w:r>
        <w:rPr>
          <w:rFonts w:cs="Times New Roman" w:ascii="Times New Roman" w:hAnsi="Times New Roman"/>
          <w:sz w:val="24"/>
          <w:szCs w:val="24"/>
        </w:rPr>
        <w:t>Учет оценочных обязательств.</w:t>
      </w:r>
    </w:p>
    <w:p>
      <w:pPr>
        <w:pStyle w:val="Normal"/>
        <w:autoSpaceDE w:val="false"/>
        <w:ind w:firstLine="709" w:end="0"/>
        <w:jc w:val="both"/>
        <w:rPr>
          <w:rFonts w:cs="Times New Roman"/>
          <w:sz w:val="24"/>
          <w:szCs w:val="24"/>
        </w:rPr>
      </w:pPr>
      <w:r>
        <w:rPr>
          <w:rFonts w:cs="Times New Roman"/>
          <w:sz w:val="24"/>
          <w:szCs w:val="24"/>
        </w:rPr>
      </w:r>
    </w:p>
    <w:p>
      <w:pPr>
        <w:pStyle w:val="Normal"/>
        <w:autoSpaceDE w:val="false"/>
        <w:ind w:firstLine="709" w:end="0"/>
        <w:jc w:val="both"/>
        <w:rPr/>
      </w:pPr>
      <w:r>
        <w:rPr>
          <w:sz w:val="24"/>
          <w:szCs w:val="24"/>
        </w:rPr>
        <w:t>В соответствие с Положением по бухгалтерскому учету «Оценочные обязательства, условные обязательства и условные активы» (ПБУ 8/2010), утвержденного Приказом Минфина РФ от 13.12.2010 №167н, Общество признает в бухгалтерском учете оценочное обязательство  при одновременном соблюдении следующих условий (</w:t>
      </w:r>
      <w:hyperlink r:id="rId3">
        <w:r>
          <w:rPr>
            <w:rStyle w:val="Hyperlink"/>
            <w:color w:val="000000"/>
            <w:sz w:val="24"/>
            <w:szCs w:val="24"/>
          </w:rPr>
          <w:t>п. 5</w:t>
        </w:r>
      </w:hyperlink>
      <w:r>
        <w:rPr>
          <w:sz w:val="24"/>
          <w:szCs w:val="24"/>
        </w:rPr>
        <w:t xml:space="preserve"> ПБУ 8/2010):</w:t>
      </w:r>
    </w:p>
    <w:p>
      <w:pPr>
        <w:pStyle w:val="Normal"/>
        <w:autoSpaceDE w:val="false"/>
        <w:ind w:firstLine="708" w:end="0"/>
        <w:jc w:val="both"/>
        <w:rPr>
          <w:sz w:val="24"/>
          <w:szCs w:val="24"/>
        </w:rPr>
      </w:pPr>
      <w:r>
        <w:rPr>
          <w:sz w:val="24"/>
          <w:szCs w:val="24"/>
        </w:rPr>
        <w:t>- у организации существует обязанность, явившаяся следствием прошлых событий ее хозяйственной деятельности, исполнения которой организация не может избежать;</w:t>
      </w:r>
    </w:p>
    <w:p>
      <w:pPr>
        <w:pStyle w:val="Normal"/>
        <w:autoSpaceDE w:val="false"/>
        <w:ind w:firstLine="708" w:end="0"/>
        <w:jc w:val="both"/>
        <w:rPr>
          <w:sz w:val="24"/>
          <w:szCs w:val="24"/>
        </w:rPr>
      </w:pPr>
      <w:r>
        <w:rPr>
          <w:sz w:val="24"/>
          <w:szCs w:val="24"/>
        </w:rPr>
        <w:t>- вероятно уменьшение экономических выгод организации, необходимое для исполнения оценочного обязательства;</w:t>
      </w:r>
    </w:p>
    <w:p>
      <w:pPr>
        <w:pStyle w:val="Normal"/>
        <w:autoSpaceDE w:val="false"/>
        <w:ind w:firstLine="708" w:end="0"/>
        <w:jc w:val="both"/>
        <w:rPr>
          <w:sz w:val="24"/>
          <w:szCs w:val="24"/>
        </w:rPr>
      </w:pPr>
      <w:r>
        <w:rPr>
          <w:sz w:val="24"/>
          <w:szCs w:val="24"/>
        </w:rPr>
        <w:t>- величина оценочного обязательства может быть обоснованно оценена.</w:t>
      </w:r>
    </w:p>
    <w:p>
      <w:pPr>
        <w:pStyle w:val="Normal"/>
        <w:ind w:firstLine="567" w:end="0"/>
        <w:jc w:val="both"/>
        <w:rPr>
          <w:sz w:val="24"/>
          <w:szCs w:val="24"/>
        </w:rPr>
      </w:pPr>
      <w:r>
        <w:rPr>
          <w:sz w:val="24"/>
          <w:szCs w:val="24"/>
        </w:rPr>
        <w:t xml:space="preserve">В составе оценочных обязательств обществом отражено создание резерва предстоящих расходов на оплату отпусков.  Порядок формирования резерва – произведение среднедневной заработной платы и количества неиспользованных дней отпуска каждого штатного сотрудника Общества с учетом страховых взносов. </w:t>
      </w:r>
    </w:p>
    <w:p>
      <w:pPr>
        <w:pStyle w:val="Normal"/>
        <w:ind w:firstLine="567" w:end="0"/>
        <w:jc w:val="both"/>
        <w:rPr>
          <w:sz w:val="24"/>
          <w:szCs w:val="24"/>
        </w:rPr>
      </w:pPr>
      <w:r>
        <w:rPr>
          <w:sz w:val="24"/>
          <w:szCs w:val="24"/>
        </w:rPr>
      </w:r>
    </w:p>
    <w:p>
      <w:pPr>
        <w:pStyle w:val="Normal"/>
        <w:ind w:firstLine="567" w:end="0"/>
        <w:jc w:val="both"/>
        <w:rPr>
          <w:sz w:val="24"/>
          <w:szCs w:val="24"/>
        </w:rPr>
      </w:pPr>
      <w:r>
        <w:rPr>
          <w:sz w:val="24"/>
          <w:szCs w:val="24"/>
        </w:rPr>
      </w:r>
    </w:p>
    <w:p>
      <w:pPr>
        <w:pStyle w:val="Normal"/>
        <w:ind w:firstLine="567" w:end="0"/>
        <w:jc w:val="both"/>
        <w:rPr>
          <w:sz w:val="24"/>
          <w:szCs w:val="24"/>
        </w:rPr>
      </w:pPr>
      <w:r>
        <w:rPr>
          <w:sz w:val="24"/>
          <w:szCs w:val="24"/>
        </w:rPr>
      </w:r>
    </w:p>
    <w:p>
      <w:pPr>
        <w:pStyle w:val="BodyText"/>
        <w:ind w:start="360" w:end="0"/>
        <w:jc w:val="center"/>
        <w:rPr>
          <w:color w:val="000000"/>
        </w:rPr>
      </w:pPr>
      <w:r>
        <w:rPr>
          <w:b/>
          <w:sz w:val="24"/>
          <w:szCs w:val="24"/>
        </w:rPr>
        <w:t>Дополнительная информация</w:t>
      </w:r>
    </w:p>
    <w:p>
      <w:pPr>
        <w:pStyle w:val="Normal"/>
        <w:ind w:firstLine="708" w:end="0"/>
        <w:jc w:val="both"/>
        <w:rPr>
          <w:sz w:val="24"/>
          <w:szCs w:val="24"/>
        </w:rPr>
      </w:pPr>
      <w:r>
        <w:rPr>
          <w:color w:val="000000"/>
        </w:rPr>
        <w:tab/>
        <w:t xml:space="preserve"> </w:t>
      </w:r>
    </w:p>
    <w:p>
      <w:pPr>
        <w:pStyle w:val="Normal"/>
        <w:spacing w:lineRule="auto" w:line="276"/>
        <w:ind w:firstLine="360" w:end="0"/>
        <w:jc w:val="both"/>
        <w:rPr>
          <w:sz w:val="24"/>
          <w:szCs w:val="24"/>
        </w:rPr>
      </w:pPr>
      <w:r>
        <w:rPr>
          <w:sz w:val="24"/>
          <w:szCs w:val="24"/>
        </w:rPr>
        <w:t xml:space="preserve">В бухгалтерскую отчетность 2025 года внесены корректировки сопоставимых показателей на 31.12.2024, на 31.12.2023 в связи с началом применения ФСБУ 4/2023 «Бухгалтерская (финансовая) отчетность» с 01.01.2025.  </w:t>
      </w:r>
    </w:p>
    <w:p>
      <w:pPr>
        <w:pStyle w:val="Normal"/>
        <w:spacing w:lineRule="auto" w:line="276"/>
        <w:ind w:firstLine="360" w:end="0"/>
        <w:jc w:val="both"/>
        <w:rPr>
          <w:sz w:val="24"/>
          <w:szCs w:val="24"/>
        </w:rPr>
      </w:pPr>
      <w:bookmarkStart w:id="1" w:name="_Hlk224909602"/>
      <w:r>
        <w:rPr>
          <w:sz w:val="24"/>
          <w:szCs w:val="24"/>
        </w:rPr>
        <w:t>Отражены корректировки по следующим показателям Бухгалтерского Баланса на 31.12.2024г. и 31.12.2023г.:</w:t>
      </w:r>
      <w:bookmarkEnd w:id="1"/>
    </w:p>
    <w:p>
      <w:pPr>
        <w:pStyle w:val="Normal"/>
        <w:spacing w:lineRule="auto" w:line="276"/>
        <w:ind w:firstLine="360" w:end="0"/>
        <w:jc w:val="both"/>
        <w:rPr>
          <w:b/>
          <w:bCs/>
          <w:color w:val="000000"/>
          <w:sz w:val="18"/>
          <w:szCs w:val="18"/>
        </w:rPr>
      </w:pPr>
      <w:r>
        <w:rPr>
          <w:sz w:val="24"/>
          <w:szCs w:val="24"/>
        </w:rPr>
        <w:t>- по дебиторской задолженности исчисленных процентов к получению по долгосрочным договорам займов, по авансам выданным поставщикам на приобретение основных средств</w:t>
      </w:r>
    </w:p>
    <w:tbl>
      <w:tblPr>
        <w:tblW w:w="9191" w:type="dxa"/>
        <w:jc w:val="start"/>
        <w:tblInd w:w="96" w:type="dxa"/>
        <w:tblLayout w:type="fixed"/>
        <w:tblCellMar>
          <w:top w:w="0" w:type="dxa"/>
          <w:start w:w="108" w:type="dxa"/>
          <w:bottom w:w="0" w:type="dxa"/>
          <w:end w:w="108" w:type="dxa"/>
        </w:tblCellMar>
      </w:tblPr>
      <w:tblGrid>
        <w:gridCol w:w="2008"/>
        <w:gridCol w:w="782"/>
        <w:gridCol w:w="1116"/>
        <w:gridCol w:w="1026"/>
        <w:gridCol w:w="1139"/>
        <w:gridCol w:w="1046"/>
        <w:gridCol w:w="1026"/>
        <w:gridCol w:w="1048"/>
      </w:tblGrid>
      <w:tr>
        <w:trPr>
          <w:trHeight w:val="464" w:hRule="atLeast"/>
        </w:trPr>
        <w:tc>
          <w:tcPr>
            <w:tcW w:w="2008" w:type="dxa"/>
            <w:vMerge w:val="restart"/>
            <w:tcBorders>
              <w:top w:val="single" w:sz="8" w:space="0" w:color="000000"/>
              <w:start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Наименование показателя</w:t>
            </w:r>
          </w:p>
        </w:tc>
        <w:tc>
          <w:tcPr>
            <w:tcW w:w="782" w:type="dxa"/>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Код строки</w:t>
            </w:r>
          </w:p>
        </w:tc>
        <w:tc>
          <w:tcPr>
            <w:tcW w:w="2142" w:type="dxa"/>
            <w:gridSpan w:val="2"/>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До корректировки</w:t>
            </w:r>
          </w:p>
        </w:tc>
        <w:tc>
          <w:tcPr>
            <w:tcW w:w="2185" w:type="dxa"/>
            <w:gridSpan w:val="2"/>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Корректировка</w:t>
            </w:r>
          </w:p>
        </w:tc>
        <w:tc>
          <w:tcPr>
            <w:tcW w:w="2074" w:type="dxa"/>
            <w:gridSpan w:val="2"/>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После корректировки</w:t>
            </w:r>
          </w:p>
        </w:tc>
      </w:tr>
      <w:tr>
        <w:trPr>
          <w:trHeight w:val="517" w:hRule="atLeast"/>
        </w:trPr>
        <w:tc>
          <w:tcPr>
            <w:tcW w:w="2008" w:type="dxa"/>
            <w:vMerge w:val="continue"/>
            <w:tcBorders>
              <w:top w:val="single" w:sz="8" w:space="0" w:color="000000"/>
              <w:start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782"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2142" w:type="dxa"/>
            <w:gridSpan w:val="2"/>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185" w:type="dxa"/>
            <w:gridSpan w:val="2"/>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074" w:type="dxa"/>
            <w:gridSpan w:val="2"/>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r>
      <w:tr>
        <w:trPr>
          <w:trHeight w:val="300" w:hRule="atLeast"/>
        </w:trPr>
        <w:tc>
          <w:tcPr>
            <w:tcW w:w="2008" w:type="dxa"/>
            <w:vMerge w:val="continue"/>
            <w:tcBorders>
              <w:top w:val="single" w:sz="8" w:space="0" w:color="000000"/>
              <w:start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782"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111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31.12.2024</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31.12.2023</w:t>
            </w:r>
          </w:p>
        </w:tc>
        <w:tc>
          <w:tcPr>
            <w:tcW w:w="1139"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31.12.2024</w:t>
            </w:r>
          </w:p>
        </w:tc>
        <w:tc>
          <w:tcPr>
            <w:tcW w:w="104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31.12.2023</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31.12.2024</w:t>
            </w:r>
          </w:p>
        </w:tc>
        <w:tc>
          <w:tcPr>
            <w:tcW w:w="1048"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31.12.2023</w:t>
            </w:r>
          </w:p>
        </w:tc>
      </w:tr>
      <w:tr>
        <w:trPr>
          <w:trHeight w:val="288" w:hRule="atLeast"/>
        </w:trPr>
        <w:tc>
          <w:tcPr>
            <w:tcW w:w="2008" w:type="dxa"/>
            <w:tcBorders>
              <w:start w:val="single" w:sz="8" w:space="0" w:color="000000"/>
              <w:end w:val="single" w:sz="8" w:space="0" w:color="000000"/>
            </w:tcBorders>
            <w:vAlign w:val="bottom"/>
          </w:tcPr>
          <w:p>
            <w:pPr>
              <w:pStyle w:val="Normal"/>
              <w:rPr>
                <w:b/>
                <w:bCs/>
                <w:color w:val="000000"/>
                <w:sz w:val="18"/>
                <w:szCs w:val="18"/>
              </w:rPr>
            </w:pPr>
            <w:r>
              <w:rPr>
                <w:b/>
                <w:bCs/>
                <w:color w:val="000000"/>
                <w:sz w:val="18"/>
                <w:szCs w:val="18"/>
              </w:rPr>
              <w:t>Основные средства</w:t>
            </w:r>
          </w:p>
        </w:tc>
        <w:tc>
          <w:tcPr>
            <w:tcW w:w="782" w:type="dxa"/>
            <w:vMerge w:val="restart"/>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1150</w:t>
            </w:r>
          </w:p>
        </w:tc>
        <w:tc>
          <w:tcPr>
            <w:tcW w:w="111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120457</w:t>
            </w:r>
          </w:p>
        </w:tc>
        <w:tc>
          <w:tcPr>
            <w:tcW w:w="102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85206</w:t>
            </w:r>
          </w:p>
        </w:tc>
        <w:tc>
          <w:tcPr>
            <w:tcW w:w="1139"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p>
            <w:pPr>
              <w:pStyle w:val="Normal"/>
              <w:jc w:val="center"/>
              <w:rPr>
                <w:color w:val="000000"/>
                <w:sz w:val="18"/>
                <w:szCs w:val="18"/>
              </w:rPr>
            </w:pPr>
            <w:r>
              <w:rPr>
                <w:color w:val="000000"/>
                <w:sz w:val="18"/>
                <w:szCs w:val="18"/>
              </w:rPr>
            </w:r>
          </w:p>
        </w:tc>
        <w:tc>
          <w:tcPr>
            <w:tcW w:w="104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2951</w:t>
            </w:r>
          </w:p>
        </w:tc>
        <w:tc>
          <w:tcPr>
            <w:tcW w:w="102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120457</w:t>
            </w:r>
          </w:p>
        </w:tc>
        <w:tc>
          <w:tcPr>
            <w:tcW w:w="1048"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88157</w:t>
            </w:r>
          </w:p>
        </w:tc>
      </w:tr>
      <w:tr>
        <w:trPr>
          <w:trHeight w:val="60" w:hRule="atLeast"/>
        </w:trPr>
        <w:tc>
          <w:tcPr>
            <w:tcW w:w="2008" w:type="dxa"/>
            <w:tcBorders>
              <w:start w:val="single" w:sz="8" w:space="0" w:color="000000"/>
              <w:bottom w:val="single" w:sz="8" w:space="0" w:color="000000"/>
              <w:end w:val="single" w:sz="8" w:space="0" w:color="000000"/>
            </w:tcBorders>
            <w:vAlign w:val="bottom"/>
          </w:tcPr>
          <w:p>
            <w:pPr>
              <w:pStyle w:val="Normal"/>
              <w:snapToGrid w:val="false"/>
              <w:rPr>
                <w:b/>
                <w:bCs/>
                <w:color w:val="000000"/>
                <w:sz w:val="18"/>
                <w:szCs w:val="18"/>
                <w:highlight w:val="green"/>
              </w:rPr>
            </w:pPr>
            <w:r>
              <w:rPr>
                <w:b/>
                <w:bCs/>
                <w:color w:val="000000"/>
                <w:sz w:val="18"/>
                <w:szCs w:val="18"/>
                <w:highlight w:val="green"/>
              </w:rPr>
            </w:r>
          </w:p>
        </w:tc>
        <w:tc>
          <w:tcPr>
            <w:tcW w:w="782"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111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2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139"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4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2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48"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rPr>
                <w:color w:val="000000"/>
                <w:sz w:val="18"/>
                <w:szCs w:val="18"/>
              </w:rPr>
            </w:pPr>
            <w:r>
              <w:rPr>
                <w:color w:val="000000"/>
                <w:sz w:val="18"/>
                <w:szCs w:val="18"/>
              </w:rPr>
              <w:t>Авансы связанные с приобретением ОС</w:t>
            </w:r>
          </w:p>
        </w:tc>
        <w:tc>
          <w:tcPr>
            <w:tcW w:w="782"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1154</w:t>
            </w:r>
          </w:p>
        </w:tc>
        <w:tc>
          <w:tcPr>
            <w:tcW w:w="111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tc>
        <w:tc>
          <w:tcPr>
            <w:tcW w:w="102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tc>
        <w:tc>
          <w:tcPr>
            <w:tcW w:w="1139" w:type="dxa"/>
            <w:tcBorders>
              <w:bottom w:val="single" w:sz="8" w:space="0" w:color="000000"/>
              <w:end w:val="single" w:sz="8" w:space="0" w:color="000000"/>
            </w:tcBorders>
            <w:vAlign w:val="bottom"/>
          </w:tcPr>
          <w:p>
            <w:pPr>
              <w:pStyle w:val="Normal"/>
              <w:snapToGrid w:val="false"/>
              <w:jc w:val="center"/>
              <w:rPr>
                <w:color w:val="000000"/>
                <w:sz w:val="18"/>
                <w:szCs w:val="18"/>
              </w:rPr>
            </w:pPr>
            <w:r>
              <w:rPr>
                <w:color w:val="000000"/>
                <w:sz w:val="18"/>
                <w:szCs w:val="18"/>
              </w:rPr>
            </w:r>
          </w:p>
        </w:tc>
        <w:tc>
          <w:tcPr>
            <w:tcW w:w="104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2951</w:t>
            </w:r>
          </w:p>
        </w:tc>
        <w:tc>
          <w:tcPr>
            <w:tcW w:w="102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tc>
        <w:tc>
          <w:tcPr>
            <w:tcW w:w="1048"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2951</w:t>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rPr>
                <w:b/>
                <w:bCs/>
                <w:color w:val="000000"/>
                <w:sz w:val="18"/>
                <w:szCs w:val="18"/>
              </w:rPr>
            </w:pPr>
            <w:r>
              <w:rPr>
                <w:b/>
                <w:bCs/>
                <w:color w:val="000000"/>
                <w:sz w:val="18"/>
                <w:szCs w:val="18"/>
              </w:rPr>
              <w:t>Прочие внеоборотные активы</w:t>
            </w:r>
          </w:p>
        </w:tc>
        <w:tc>
          <w:tcPr>
            <w:tcW w:w="782" w:type="dxa"/>
            <w:tcBorders>
              <w:bottom w:val="single" w:sz="8" w:space="0" w:color="000000"/>
              <w:end w:val="single" w:sz="8" w:space="0" w:color="000000"/>
            </w:tcBorders>
            <w:vAlign w:val="bottom"/>
          </w:tcPr>
          <w:p>
            <w:pPr>
              <w:pStyle w:val="Normal"/>
              <w:jc w:val="center"/>
              <w:rPr>
                <w:b/>
                <w:color w:val="000000"/>
                <w:sz w:val="18"/>
                <w:szCs w:val="18"/>
              </w:rPr>
            </w:pPr>
            <w:r>
              <w:rPr>
                <w:b/>
                <w:color w:val="000000"/>
                <w:sz w:val="18"/>
                <w:szCs w:val="18"/>
              </w:rPr>
              <w:t>1190</w:t>
            </w:r>
          </w:p>
        </w:tc>
        <w:tc>
          <w:tcPr>
            <w:tcW w:w="111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tc>
        <w:tc>
          <w:tcPr>
            <w:tcW w:w="102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w:t>
            </w:r>
          </w:p>
        </w:tc>
        <w:tc>
          <w:tcPr>
            <w:tcW w:w="1139"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23128</w:t>
            </w:r>
          </w:p>
        </w:tc>
        <w:tc>
          <w:tcPr>
            <w:tcW w:w="104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31564</w:t>
            </w:r>
          </w:p>
        </w:tc>
        <w:tc>
          <w:tcPr>
            <w:tcW w:w="1026"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23128</w:t>
            </w:r>
          </w:p>
        </w:tc>
        <w:tc>
          <w:tcPr>
            <w:tcW w:w="1048"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31564</w:t>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rPr>
                <w:b/>
                <w:bCs/>
                <w:color w:val="000000"/>
                <w:sz w:val="18"/>
                <w:szCs w:val="18"/>
              </w:rPr>
            </w:pPr>
            <w:r>
              <w:rPr>
                <w:b/>
                <w:bCs/>
                <w:color w:val="000000"/>
                <w:sz w:val="18"/>
                <w:szCs w:val="18"/>
              </w:rPr>
              <w:t>Итого по разделу I</w:t>
            </w:r>
          </w:p>
        </w:tc>
        <w:tc>
          <w:tcPr>
            <w:tcW w:w="782"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1100</w:t>
            </w:r>
          </w:p>
        </w:tc>
        <w:tc>
          <w:tcPr>
            <w:tcW w:w="111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381713</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449214</w:t>
            </w:r>
          </w:p>
        </w:tc>
        <w:tc>
          <w:tcPr>
            <w:tcW w:w="1139"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23128</w:t>
            </w:r>
          </w:p>
        </w:tc>
        <w:tc>
          <w:tcPr>
            <w:tcW w:w="104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34515</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404841</w:t>
            </w:r>
          </w:p>
        </w:tc>
        <w:tc>
          <w:tcPr>
            <w:tcW w:w="1048"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483729</w:t>
            </w:r>
          </w:p>
        </w:tc>
      </w:tr>
      <w:tr>
        <w:trPr>
          <w:trHeight w:val="288" w:hRule="atLeast"/>
        </w:trPr>
        <w:tc>
          <w:tcPr>
            <w:tcW w:w="2008" w:type="dxa"/>
            <w:tcBorders>
              <w:start w:val="single" w:sz="8" w:space="0" w:color="000000"/>
              <w:end w:val="single" w:sz="8" w:space="0" w:color="000000"/>
            </w:tcBorders>
            <w:vAlign w:val="bottom"/>
          </w:tcPr>
          <w:p>
            <w:pPr>
              <w:pStyle w:val="Normal"/>
              <w:rPr>
                <w:b/>
                <w:bCs/>
                <w:color w:val="000000"/>
                <w:sz w:val="18"/>
                <w:szCs w:val="18"/>
              </w:rPr>
            </w:pPr>
            <w:r>
              <w:rPr>
                <w:b/>
                <w:bCs/>
                <w:color w:val="000000"/>
                <w:sz w:val="18"/>
                <w:szCs w:val="18"/>
              </w:rPr>
              <w:t>Дебиторская задолженность</w:t>
            </w:r>
          </w:p>
        </w:tc>
        <w:tc>
          <w:tcPr>
            <w:tcW w:w="782" w:type="dxa"/>
            <w:vMerge w:val="restart"/>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1230</w:t>
            </w:r>
          </w:p>
        </w:tc>
        <w:tc>
          <w:tcPr>
            <w:tcW w:w="111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621134</w:t>
            </w:r>
          </w:p>
        </w:tc>
        <w:tc>
          <w:tcPr>
            <w:tcW w:w="102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461113</w:t>
            </w:r>
          </w:p>
        </w:tc>
        <w:tc>
          <w:tcPr>
            <w:tcW w:w="1139"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23128</w:t>
            </w:r>
          </w:p>
        </w:tc>
        <w:tc>
          <w:tcPr>
            <w:tcW w:w="104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34515</w:t>
            </w:r>
          </w:p>
        </w:tc>
        <w:tc>
          <w:tcPr>
            <w:tcW w:w="1026"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598006</w:t>
            </w:r>
          </w:p>
        </w:tc>
        <w:tc>
          <w:tcPr>
            <w:tcW w:w="1048"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426598</w:t>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snapToGrid w:val="false"/>
              <w:rPr>
                <w:b/>
                <w:bCs/>
                <w:color w:val="000000"/>
                <w:sz w:val="18"/>
                <w:szCs w:val="18"/>
                <w:highlight w:val="green"/>
              </w:rPr>
            </w:pPr>
            <w:r>
              <w:rPr>
                <w:b/>
                <w:bCs/>
                <w:color w:val="000000"/>
                <w:sz w:val="18"/>
                <w:szCs w:val="18"/>
                <w:highlight w:val="green"/>
              </w:rPr>
            </w:r>
          </w:p>
        </w:tc>
        <w:tc>
          <w:tcPr>
            <w:tcW w:w="782"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highlight w:val="green"/>
              </w:rPr>
            </w:pPr>
            <w:r>
              <w:rPr>
                <w:rFonts w:eastAsia="Calibri"/>
                <w:b/>
                <w:bCs/>
                <w:color w:val="000000"/>
                <w:sz w:val="18"/>
                <w:szCs w:val="18"/>
                <w:highlight w:val="green"/>
              </w:rPr>
            </w:r>
          </w:p>
        </w:tc>
        <w:tc>
          <w:tcPr>
            <w:tcW w:w="111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2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139"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4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26"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1048" w:type="dxa"/>
            <w:vMerge w:val="continue"/>
            <w:tcBorders>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rPr>
                <w:b/>
                <w:bCs/>
                <w:color w:val="000000"/>
                <w:sz w:val="18"/>
                <w:szCs w:val="18"/>
              </w:rPr>
            </w:pPr>
            <w:r>
              <w:rPr>
                <w:b/>
                <w:bCs/>
                <w:color w:val="000000"/>
                <w:sz w:val="18"/>
                <w:szCs w:val="18"/>
              </w:rPr>
              <w:t xml:space="preserve">Итого по разделу II </w:t>
            </w:r>
          </w:p>
        </w:tc>
        <w:tc>
          <w:tcPr>
            <w:tcW w:w="782"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1200</w:t>
            </w:r>
          </w:p>
        </w:tc>
        <w:tc>
          <w:tcPr>
            <w:tcW w:w="111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753259</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617696</w:t>
            </w:r>
          </w:p>
        </w:tc>
        <w:tc>
          <w:tcPr>
            <w:tcW w:w="1139"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23128</w:t>
            </w:r>
          </w:p>
        </w:tc>
        <w:tc>
          <w:tcPr>
            <w:tcW w:w="104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34515</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730131</w:t>
            </w:r>
          </w:p>
        </w:tc>
        <w:tc>
          <w:tcPr>
            <w:tcW w:w="1048"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583180</w:t>
            </w:r>
          </w:p>
        </w:tc>
      </w:tr>
      <w:tr>
        <w:trPr>
          <w:trHeight w:val="300" w:hRule="atLeast"/>
        </w:trPr>
        <w:tc>
          <w:tcPr>
            <w:tcW w:w="2008" w:type="dxa"/>
            <w:tcBorders>
              <w:start w:val="single" w:sz="8" w:space="0" w:color="000000"/>
              <w:bottom w:val="single" w:sz="8" w:space="0" w:color="000000"/>
              <w:end w:val="single" w:sz="8" w:space="0" w:color="000000"/>
            </w:tcBorders>
            <w:vAlign w:val="bottom"/>
          </w:tcPr>
          <w:p>
            <w:pPr>
              <w:pStyle w:val="Normal"/>
              <w:rPr>
                <w:b/>
                <w:bCs/>
                <w:color w:val="000000"/>
                <w:sz w:val="18"/>
                <w:szCs w:val="18"/>
              </w:rPr>
            </w:pPr>
            <w:r>
              <w:rPr>
                <w:b/>
                <w:bCs/>
                <w:color w:val="000000"/>
                <w:sz w:val="18"/>
                <w:szCs w:val="18"/>
              </w:rPr>
              <w:t>БАЛАНС</w:t>
            </w:r>
          </w:p>
        </w:tc>
        <w:tc>
          <w:tcPr>
            <w:tcW w:w="782"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1600</w:t>
            </w:r>
          </w:p>
        </w:tc>
        <w:tc>
          <w:tcPr>
            <w:tcW w:w="111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1134972</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1066910</w:t>
            </w:r>
          </w:p>
        </w:tc>
        <w:tc>
          <w:tcPr>
            <w:tcW w:w="1139"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23128</w:t>
            </w:r>
          </w:p>
        </w:tc>
        <w:tc>
          <w:tcPr>
            <w:tcW w:w="104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34515</w:t>
            </w:r>
          </w:p>
        </w:tc>
        <w:tc>
          <w:tcPr>
            <w:tcW w:w="1026"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1134972</w:t>
            </w:r>
          </w:p>
        </w:tc>
        <w:tc>
          <w:tcPr>
            <w:tcW w:w="1048"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1066910</w:t>
            </w:r>
          </w:p>
        </w:tc>
      </w:tr>
    </w:tbl>
    <w:p>
      <w:pPr>
        <w:pStyle w:val="Normal"/>
        <w:spacing w:lineRule="auto" w:line="276"/>
        <w:jc w:val="both"/>
        <w:rPr/>
      </w:pPr>
      <w:r>
        <w:rPr/>
      </w:r>
    </w:p>
    <w:p>
      <w:pPr>
        <w:pStyle w:val="Normal"/>
        <w:ind w:firstLine="708" w:end="0"/>
        <w:jc w:val="both"/>
        <w:rPr>
          <w:color w:val="000000"/>
          <w:sz w:val="24"/>
          <w:szCs w:val="24"/>
        </w:rPr>
      </w:pPr>
      <w:r>
        <w:rPr>
          <w:sz w:val="24"/>
          <w:szCs w:val="24"/>
        </w:rPr>
        <w:t>Отражены корректировки по следующим показателям Отчета о финансовых результатах на 31.12.2024г.:</w:t>
      </w:r>
    </w:p>
    <w:p>
      <w:pPr>
        <w:pStyle w:val="Normal"/>
        <w:ind w:firstLine="708" w:end="0"/>
        <w:jc w:val="both"/>
        <w:rPr>
          <w:color w:val="000000"/>
          <w:sz w:val="24"/>
          <w:szCs w:val="24"/>
        </w:rPr>
      </w:pPr>
      <w:r>
        <w:rPr>
          <w:color w:val="000000"/>
          <w:sz w:val="24"/>
          <w:szCs w:val="24"/>
        </w:rPr>
        <w:t>- по курсовым разницам,</w:t>
      </w:r>
    </w:p>
    <w:p>
      <w:pPr>
        <w:pStyle w:val="Normal"/>
        <w:ind w:firstLine="708" w:end="0"/>
        <w:jc w:val="both"/>
        <w:rPr>
          <w:color w:val="000000"/>
          <w:sz w:val="24"/>
          <w:szCs w:val="24"/>
        </w:rPr>
      </w:pPr>
      <w:r>
        <w:rPr>
          <w:color w:val="000000"/>
          <w:sz w:val="24"/>
          <w:szCs w:val="24"/>
        </w:rPr>
        <w:t>-- по реализации основных средств.</w:t>
      </w:r>
    </w:p>
    <w:p>
      <w:pPr>
        <w:pStyle w:val="Normal"/>
        <w:ind w:firstLine="708" w:end="0"/>
        <w:jc w:val="both"/>
        <w:rPr>
          <w:b/>
          <w:bCs/>
          <w:color w:val="000000"/>
          <w:sz w:val="18"/>
          <w:szCs w:val="18"/>
        </w:rPr>
      </w:pPr>
      <w:r>
        <w:rPr/>
        <w:t xml:space="preserve">                                                                                                                           </w:t>
      </w:r>
      <w:r>
        <w:rPr/>
        <w:t>(тыс.руб.)</w:t>
      </w:r>
    </w:p>
    <w:tbl>
      <w:tblPr>
        <w:tblW w:w="8976" w:type="dxa"/>
        <w:jc w:val="start"/>
        <w:tblInd w:w="0" w:type="dxa"/>
        <w:tblLayout w:type="fixed"/>
        <w:tblCellMar>
          <w:top w:w="0" w:type="dxa"/>
          <w:start w:w="108" w:type="dxa"/>
          <w:bottom w:w="0" w:type="dxa"/>
          <w:end w:w="108" w:type="dxa"/>
        </w:tblCellMar>
      </w:tblPr>
      <w:tblGrid>
        <w:gridCol w:w="1611"/>
        <w:gridCol w:w="784"/>
        <w:gridCol w:w="2197"/>
        <w:gridCol w:w="2263"/>
        <w:gridCol w:w="2091"/>
        <w:gridCol w:w="30"/>
      </w:tblGrid>
      <w:tr>
        <w:trPr>
          <w:trHeight w:val="288" w:hRule="atLeast"/>
        </w:trPr>
        <w:tc>
          <w:tcPr>
            <w:tcW w:w="1611" w:type="dxa"/>
            <w:vMerge w:val="restart"/>
            <w:tcBorders>
              <w:top w:val="single" w:sz="8" w:space="0" w:color="000000"/>
              <w:start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Наименование показателя</w:t>
            </w:r>
          </w:p>
        </w:tc>
        <w:tc>
          <w:tcPr>
            <w:tcW w:w="784" w:type="dxa"/>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Код строки</w:t>
            </w:r>
          </w:p>
        </w:tc>
        <w:tc>
          <w:tcPr>
            <w:tcW w:w="2197" w:type="dxa"/>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До корректировки</w:t>
            </w:r>
          </w:p>
        </w:tc>
        <w:tc>
          <w:tcPr>
            <w:tcW w:w="2263" w:type="dxa"/>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Корректировка</w:t>
            </w:r>
          </w:p>
        </w:tc>
        <w:tc>
          <w:tcPr>
            <w:tcW w:w="2091" w:type="dxa"/>
            <w:vMerge w:val="restart"/>
            <w:tcBorders>
              <w:top w:val="single" w:sz="8" w:space="0" w:color="000000"/>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После корректировки</w:t>
            </w:r>
          </w:p>
        </w:tc>
        <w:tc>
          <w:tcPr>
            <w:tcW w:w="30" w:type="dxa"/>
            <w:tcBorders/>
            <w:tcMar>
              <w:start w:w="0" w:type="dxa"/>
              <w:end w:w="0" w:type="dxa"/>
            </w:tcMar>
            <w:vAlign w:val="center"/>
          </w:tcPr>
          <w:p>
            <w:pPr>
              <w:pStyle w:val="Normal"/>
              <w:snapToGrid w:val="false"/>
              <w:rPr>
                <w:b/>
                <w:bCs/>
                <w:color w:val="000000"/>
                <w:sz w:val="18"/>
                <w:szCs w:val="18"/>
              </w:rPr>
            </w:pPr>
            <w:r>
              <w:rPr>
                <w:b/>
                <w:bCs/>
                <w:color w:val="000000"/>
                <w:sz w:val="18"/>
                <w:szCs w:val="18"/>
              </w:rPr>
            </w:r>
          </w:p>
        </w:tc>
      </w:tr>
      <w:tr>
        <w:trPr>
          <w:trHeight w:val="440" w:hRule="atLeast"/>
        </w:trPr>
        <w:tc>
          <w:tcPr>
            <w:tcW w:w="1611" w:type="dxa"/>
            <w:vMerge w:val="continue"/>
            <w:tcBorders>
              <w:top w:val="single" w:sz="8" w:space="0" w:color="000000"/>
              <w:start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784"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197"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263"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091"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30" w:type="dxa"/>
            <w:tcBorders/>
            <w:tcMar>
              <w:start w:w="0" w:type="dxa"/>
              <w:end w:w="0" w:type="dxa"/>
            </w:tcMar>
            <w:vAlign w:val="center"/>
          </w:tcPr>
          <w:p>
            <w:pPr>
              <w:pStyle w:val="Normal"/>
              <w:snapToGrid w:val="false"/>
              <w:rPr>
                <w:rFonts w:eastAsia="Calibri"/>
                <w:b/>
                <w:bCs/>
                <w:color w:val="000000"/>
                <w:sz w:val="18"/>
                <w:szCs w:val="18"/>
              </w:rPr>
            </w:pPr>
            <w:r>
              <w:rPr>
                <w:rFonts w:eastAsia="Calibri"/>
                <w:b/>
                <w:bCs/>
                <w:color w:val="000000"/>
                <w:sz w:val="18"/>
                <w:szCs w:val="18"/>
              </w:rPr>
            </w:r>
          </w:p>
        </w:tc>
      </w:tr>
      <w:tr>
        <w:trPr>
          <w:trHeight w:val="300" w:hRule="atLeast"/>
        </w:trPr>
        <w:tc>
          <w:tcPr>
            <w:tcW w:w="1611" w:type="dxa"/>
            <w:vMerge w:val="continue"/>
            <w:tcBorders>
              <w:top w:val="single" w:sz="8" w:space="0" w:color="000000"/>
              <w:start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784" w:type="dxa"/>
            <w:vMerge w:val="continue"/>
            <w:tcBorders>
              <w:top w:val="single" w:sz="8" w:space="0" w:color="000000"/>
              <w:bottom w:val="single" w:sz="8" w:space="0" w:color="000000"/>
              <w:end w:val="single" w:sz="8" w:space="0" w:color="000000"/>
            </w:tcBorders>
            <w:vAlign w:val="bottom"/>
          </w:tcPr>
          <w:p>
            <w:pPr>
              <w:pStyle w:val="Normal"/>
              <w:snapToGrid w:val="false"/>
              <w:rPr>
                <w:rFonts w:eastAsia="Calibri"/>
                <w:b/>
                <w:bCs/>
                <w:color w:val="000000"/>
                <w:sz w:val="18"/>
                <w:szCs w:val="18"/>
              </w:rPr>
            </w:pPr>
            <w:r>
              <w:rPr>
                <w:rFonts w:eastAsia="Calibri"/>
                <w:b/>
                <w:bCs/>
                <w:color w:val="000000"/>
                <w:sz w:val="18"/>
                <w:szCs w:val="18"/>
              </w:rPr>
            </w:r>
          </w:p>
        </w:tc>
        <w:tc>
          <w:tcPr>
            <w:tcW w:w="2197"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2024</w:t>
            </w:r>
          </w:p>
        </w:tc>
        <w:tc>
          <w:tcPr>
            <w:tcW w:w="2263"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2024</w:t>
            </w:r>
          </w:p>
        </w:tc>
        <w:tc>
          <w:tcPr>
            <w:tcW w:w="2121" w:type="dxa"/>
            <w:gridSpan w:val="2"/>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2024</w:t>
            </w:r>
          </w:p>
        </w:tc>
      </w:tr>
      <w:tr>
        <w:trPr>
          <w:trHeight w:val="288" w:hRule="atLeast"/>
        </w:trPr>
        <w:tc>
          <w:tcPr>
            <w:tcW w:w="1611" w:type="dxa"/>
            <w:tcBorders>
              <w:start w:val="single" w:sz="8" w:space="0" w:color="000000"/>
              <w:end w:val="single" w:sz="8" w:space="0" w:color="000000"/>
            </w:tcBorders>
            <w:vAlign w:val="bottom"/>
          </w:tcPr>
          <w:p>
            <w:pPr>
              <w:pStyle w:val="Normal"/>
              <w:rPr>
                <w:color w:val="000000"/>
                <w:sz w:val="18"/>
                <w:szCs w:val="18"/>
              </w:rPr>
            </w:pPr>
            <w:r>
              <w:rPr>
                <w:color w:val="000000"/>
                <w:sz w:val="18"/>
                <w:szCs w:val="18"/>
              </w:rPr>
              <w:t>Прочие доходы</w:t>
            </w:r>
          </w:p>
        </w:tc>
        <w:tc>
          <w:tcPr>
            <w:tcW w:w="784"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2340</w:t>
            </w:r>
          </w:p>
        </w:tc>
        <w:tc>
          <w:tcPr>
            <w:tcW w:w="2197" w:type="dxa"/>
            <w:vMerge w:val="restart"/>
            <w:tcBorders>
              <w:end w:val="single" w:sz="8" w:space="0" w:color="000000"/>
            </w:tcBorders>
            <w:vAlign w:val="bottom"/>
          </w:tcPr>
          <w:p>
            <w:pPr>
              <w:pStyle w:val="Normal"/>
              <w:jc w:val="center"/>
              <w:rPr>
                <w:b/>
                <w:bCs/>
                <w:color w:val="000000"/>
                <w:sz w:val="18"/>
                <w:szCs w:val="18"/>
              </w:rPr>
            </w:pPr>
            <w:r>
              <w:rPr>
                <w:b/>
                <w:bCs/>
                <w:color w:val="000000"/>
                <w:sz w:val="18"/>
                <w:szCs w:val="18"/>
              </w:rPr>
              <w:t>20080</w:t>
            </w:r>
          </w:p>
        </w:tc>
        <w:tc>
          <w:tcPr>
            <w:tcW w:w="2263" w:type="dxa"/>
            <w:vMerge w:val="restart"/>
            <w:tcBorders>
              <w:end w:val="single" w:sz="8" w:space="0" w:color="000000"/>
            </w:tcBorders>
            <w:vAlign w:val="bottom"/>
          </w:tcPr>
          <w:p>
            <w:pPr>
              <w:pStyle w:val="Normal"/>
              <w:jc w:val="center"/>
              <w:rPr>
                <w:color w:val="000000"/>
                <w:sz w:val="18"/>
                <w:szCs w:val="18"/>
              </w:rPr>
            </w:pPr>
            <w:r>
              <w:rPr>
                <w:color w:val="000000"/>
                <w:sz w:val="18"/>
                <w:szCs w:val="18"/>
              </w:rPr>
              <w:t>(1163)</w:t>
            </w:r>
          </w:p>
        </w:tc>
        <w:tc>
          <w:tcPr>
            <w:tcW w:w="2121" w:type="dxa"/>
            <w:gridSpan w:val="2"/>
            <w:vMerge w:val="restart"/>
            <w:tcBorders>
              <w:end w:val="single" w:sz="8" w:space="0" w:color="000000"/>
            </w:tcBorders>
            <w:vAlign w:val="bottom"/>
          </w:tcPr>
          <w:p>
            <w:pPr>
              <w:pStyle w:val="Normal"/>
              <w:jc w:val="center"/>
              <w:rPr>
                <w:color w:val="000000"/>
                <w:sz w:val="18"/>
                <w:szCs w:val="18"/>
              </w:rPr>
            </w:pPr>
            <w:r>
              <w:rPr>
                <w:color w:val="000000"/>
                <w:sz w:val="18"/>
                <w:szCs w:val="18"/>
              </w:rPr>
              <w:t>18916</w:t>
            </w:r>
          </w:p>
        </w:tc>
      </w:tr>
      <w:tr>
        <w:trPr>
          <w:trHeight w:val="300" w:hRule="atLeast"/>
        </w:trPr>
        <w:tc>
          <w:tcPr>
            <w:tcW w:w="1611" w:type="dxa"/>
            <w:tcBorders>
              <w:start w:val="single" w:sz="8" w:space="0" w:color="000000"/>
              <w:bottom w:val="single" w:sz="8" w:space="0" w:color="000000"/>
              <w:end w:val="single" w:sz="8" w:space="0" w:color="000000"/>
            </w:tcBorders>
            <w:vAlign w:val="bottom"/>
          </w:tcPr>
          <w:p>
            <w:pPr>
              <w:pStyle w:val="Normal"/>
              <w:rPr>
                <w:color w:val="000000"/>
                <w:sz w:val="18"/>
                <w:szCs w:val="18"/>
              </w:rPr>
            </w:pPr>
            <w:r>
              <w:rPr>
                <w:color w:val="000000"/>
                <w:sz w:val="18"/>
                <w:szCs w:val="18"/>
              </w:rPr>
              <w:t xml:space="preserve">в т.ч. </w:t>
            </w:r>
          </w:p>
        </w:tc>
        <w:tc>
          <w:tcPr>
            <w:tcW w:w="784" w:type="dxa"/>
            <w:vMerge w:val="continue"/>
            <w:tcBorders>
              <w:bottom w:val="single" w:sz="8" w:space="0" w:color="000000"/>
              <w:end w:val="single" w:sz="8" w:space="0" w:color="000000"/>
            </w:tcBorders>
            <w:vAlign w:val="bottom"/>
          </w:tcPr>
          <w:p>
            <w:pPr>
              <w:pStyle w:val="Normal"/>
              <w:snapToGrid w:val="false"/>
              <w:rPr>
                <w:rFonts w:eastAsia="Calibri"/>
                <w:color w:val="000000"/>
                <w:sz w:val="18"/>
                <w:szCs w:val="18"/>
              </w:rPr>
            </w:pPr>
            <w:r>
              <w:rPr>
                <w:rFonts w:eastAsia="Calibri"/>
                <w:color w:val="000000"/>
                <w:sz w:val="18"/>
                <w:szCs w:val="18"/>
              </w:rPr>
            </w:r>
          </w:p>
        </w:tc>
        <w:tc>
          <w:tcPr>
            <w:tcW w:w="2197" w:type="dxa"/>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c>
          <w:tcPr>
            <w:tcW w:w="2263" w:type="dxa"/>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c>
          <w:tcPr>
            <w:tcW w:w="2121" w:type="dxa"/>
            <w:gridSpan w:val="2"/>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r>
      <w:tr>
        <w:trPr>
          <w:trHeight w:val="300" w:hRule="atLeast"/>
        </w:trPr>
        <w:tc>
          <w:tcPr>
            <w:tcW w:w="1611" w:type="dxa"/>
            <w:tcBorders>
              <w:start w:val="single" w:sz="8" w:space="0" w:color="000000"/>
              <w:bottom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Курсовые разницы</w:t>
            </w:r>
          </w:p>
        </w:tc>
        <w:tc>
          <w:tcPr>
            <w:tcW w:w="784" w:type="dxa"/>
            <w:tcBorders>
              <w:bottom w:val="single" w:sz="8" w:space="0" w:color="000000"/>
              <w:end w:val="single" w:sz="8" w:space="0" w:color="000000"/>
            </w:tcBorders>
            <w:vAlign w:val="bottom"/>
          </w:tcPr>
          <w:p>
            <w:pPr>
              <w:pStyle w:val="Normal"/>
              <w:snapToGrid w:val="false"/>
              <w:jc w:val="center"/>
              <w:rPr>
                <w:rFonts w:eastAsia="Calibri"/>
                <w:color w:val="000000"/>
                <w:sz w:val="18"/>
                <w:szCs w:val="18"/>
              </w:rPr>
            </w:pPr>
            <w:r>
              <w:rPr>
                <w:rFonts w:eastAsia="Calibri"/>
                <w:color w:val="000000"/>
                <w:sz w:val="18"/>
                <w:szCs w:val="18"/>
              </w:rPr>
            </w:r>
          </w:p>
        </w:tc>
        <w:tc>
          <w:tcPr>
            <w:tcW w:w="2197"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902</w:t>
            </w:r>
          </w:p>
        </w:tc>
        <w:tc>
          <w:tcPr>
            <w:tcW w:w="2263"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(887)</w:t>
            </w:r>
          </w:p>
        </w:tc>
        <w:tc>
          <w:tcPr>
            <w:tcW w:w="2121" w:type="dxa"/>
            <w:gridSpan w:val="2"/>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85</w:t>
            </w:r>
          </w:p>
        </w:tc>
      </w:tr>
      <w:tr>
        <w:trPr>
          <w:trHeight w:val="300" w:hRule="atLeast"/>
        </w:trPr>
        <w:tc>
          <w:tcPr>
            <w:tcW w:w="1611" w:type="dxa"/>
            <w:tcBorders>
              <w:start w:val="single" w:sz="8" w:space="0" w:color="000000"/>
              <w:bottom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Выбытие ОС</w:t>
            </w:r>
          </w:p>
        </w:tc>
        <w:tc>
          <w:tcPr>
            <w:tcW w:w="784" w:type="dxa"/>
            <w:tcBorders>
              <w:bottom w:val="single" w:sz="8" w:space="0" w:color="000000"/>
              <w:end w:val="single" w:sz="8" w:space="0" w:color="000000"/>
            </w:tcBorders>
            <w:vAlign w:val="bottom"/>
          </w:tcPr>
          <w:p>
            <w:pPr>
              <w:pStyle w:val="Normal"/>
              <w:snapToGrid w:val="false"/>
              <w:jc w:val="center"/>
              <w:rPr>
                <w:rFonts w:eastAsia="Calibri"/>
                <w:color w:val="000000"/>
                <w:sz w:val="18"/>
                <w:szCs w:val="18"/>
              </w:rPr>
            </w:pPr>
            <w:r>
              <w:rPr>
                <w:rFonts w:eastAsia="Calibri"/>
                <w:color w:val="000000"/>
                <w:sz w:val="18"/>
                <w:szCs w:val="18"/>
              </w:rPr>
            </w:r>
          </w:p>
        </w:tc>
        <w:tc>
          <w:tcPr>
            <w:tcW w:w="2197"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360</w:t>
            </w:r>
          </w:p>
        </w:tc>
        <w:tc>
          <w:tcPr>
            <w:tcW w:w="2263" w:type="dxa"/>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(276)</w:t>
            </w:r>
          </w:p>
        </w:tc>
        <w:tc>
          <w:tcPr>
            <w:tcW w:w="2121" w:type="dxa"/>
            <w:gridSpan w:val="2"/>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84</w:t>
            </w:r>
          </w:p>
        </w:tc>
      </w:tr>
      <w:tr>
        <w:trPr>
          <w:trHeight w:val="288" w:hRule="atLeast"/>
        </w:trPr>
        <w:tc>
          <w:tcPr>
            <w:tcW w:w="1611" w:type="dxa"/>
            <w:tcBorders>
              <w:start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Прочие расходы</w:t>
            </w:r>
          </w:p>
        </w:tc>
        <w:tc>
          <w:tcPr>
            <w:tcW w:w="784" w:type="dxa"/>
            <w:vMerge w:val="restart"/>
            <w:tcBorders>
              <w:bottom w:val="single" w:sz="8" w:space="0" w:color="000000"/>
              <w:end w:val="single" w:sz="8" w:space="0" w:color="000000"/>
            </w:tcBorders>
            <w:vAlign w:val="bottom"/>
          </w:tcPr>
          <w:p>
            <w:pPr>
              <w:pStyle w:val="Normal"/>
              <w:jc w:val="center"/>
              <w:rPr>
                <w:color w:val="000000"/>
                <w:sz w:val="18"/>
                <w:szCs w:val="18"/>
              </w:rPr>
            </w:pPr>
            <w:r>
              <w:rPr>
                <w:color w:val="000000"/>
                <w:sz w:val="18"/>
                <w:szCs w:val="18"/>
              </w:rPr>
              <w:t>2350</w:t>
            </w:r>
          </w:p>
        </w:tc>
        <w:tc>
          <w:tcPr>
            <w:tcW w:w="2197" w:type="dxa"/>
            <w:vMerge w:val="restart"/>
            <w:tcBorders>
              <w:end w:val="single" w:sz="8" w:space="0" w:color="000000"/>
            </w:tcBorders>
            <w:vAlign w:val="bottom"/>
          </w:tcPr>
          <w:p>
            <w:pPr>
              <w:pStyle w:val="Normal"/>
              <w:jc w:val="center"/>
              <w:rPr>
                <w:b/>
                <w:bCs/>
                <w:color w:val="000000"/>
                <w:sz w:val="18"/>
                <w:szCs w:val="18"/>
              </w:rPr>
            </w:pPr>
            <w:r>
              <w:rPr>
                <w:b/>
                <w:bCs/>
                <w:color w:val="000000"/>
                <w:sz w:val="18"/>
                <w:szCs w:val="18"/>
              </w:rPr>
              <w:t>(22917)</w:t>
            </w:r>
          </w:p>
        </w:tc>
        <w:tc>
          <w:tcPr>
            <w:tcW w:w="2263" w:type="dxa"/>
            <w:vMerge w:val="restart"/>
            <w:tcBorders>
              <w:end w:val="single" w:sz="8" w:space="0" w:color="000000"/>
            </w:tcBorders>
            <w:vAlign w:val="bottom"/>
          </w:tcPr>
          <w:p>
            <w:pPr>
              <w:pStyle w:val="Normal"/>
              <w:jc w:val="center"/>
              <w:rPr>
                <w:color w:val="000000"/>
                <w:sz w:val="18"/>
                <w:szCs w:val="18"/>
              </w:rPr>
            </w:pPr>
            <w:r>
              <w:rPr>
                <w:color w:val="000000"/>
                <w:sz w:val="18"/>
                <w:szCs w:val="18"/>
              </w:rPr>
              <w:t>(1163)</w:t>
            </w:r>
          </w:p>
        </w:tc>
        <w:tc>
          <w:tcPr>
            <w:tcW w:w="2121" w:type="dxa"/>
            <w:gridSpan w:val="2"/>
            <w:vMerge w:val="restart"/>
            <w:tcBorders>
              <w:end w:val="single" w:sz="8" w:space="0" w:color="000000"/>
            </w:tcBorders>
            <w:vAlign w:val="bottom"/>
          </w:tcPr>
          <w:p>
            <w:pPr>
              <w:pStyle w:val="Normal"/>
              <w:jc w:val="center"/>
              <w:rPr>
                <w:color w:val="000000"/>
                <w:sz w:val="18"/>
                <w:szCs w:val="18"/>
              </w:rPr>
            </w:pPr>
            <w:r>
              <w:rPr>
                <w:color w:val="000000"/>
                <w:sz w:val="18"/>
                <w:szCs w:val="18"/>
              </w:rPr>
              <w:t>(21753)</w:t>
            </w:r>
          </w:p>
        </w:tc>
      </w:tr>
      <w:tr>
        <w:trPr>
          <w:trHeight w:val="300" w:hRule="atLeast"/>
        </w:trPr>
        <w:tc>
          <w:tcPr>
            <w:tcW w:w="1611" w:type="dxa"/>
            <w:tcBorders>
              <w:start w:val="single" w:sz="8" w:space="0" w:color="000000"/>
              <w:bottom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в т.ч.</w:t>
            </w:r>
          </w:p>
        </w:tc>
        <w:tc>
          <w:tcPr>
            <w:tcW w:w="784" w:type="dxa"/>
            <w:vMerge w:val="continue"/>
            <w:tcBorders>
              <w:bottom w:val="single" w:sz="8" w:space="0" w:color="000000"/>
              <w:end w:val="single" w:sz="8" w:space="0" w:color="000000"/>
            </w:tcBorders>
            <w:vAlign w:val="bottom"/>
          </w:tcPr>
          <w:p>
            <w:pPr>
              <w:pStyle w:val="Normal"/>
              <w:snapToGrid w:val="false"/>
              <w:rPr>
                <w:rFonts w:eastAsia="Calibri"/>
                <w:color w:val="000000"/>
                <w:sz w:val="18"/>
                <w:szCs w:val="18"/>
              </w:rPr>
            </w:pPr>
            <w:r>
              <w:rPr>
                <w:rFonts w:eastAsia="Calibri"/>
                <w:color w:val="000000"/>
                <w:sz w:val="18"/>
                <w:szCs w:val="18"/>
              </w:rPr>
            </w:r>
          </w:p>
        </w:tc>
        <w:tc>
          <w:tcPr>
            <w:tcW w:w="2197" w:type="dxa"/>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c>
          <w:tcPr>
            <w:tcW w:w="2263" w:type="dxa"/>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c>
          <w:tcPr>
            <w:tcW w:w="2121" w:type="dxa"/>
            <w:gridSpan w:val="2"/>
            <w:vMerge w:val="continue"/>
            <w:tcBorders>
              <w:end w:val="single" w:sz="8" w:space="0" w:color="000000"/>
            </w:tcBorders>
            <w:vAlign w:val="bottom"/>
          </w:tcPr>
          <w:p>
            <w:pPr>
              <w:pStyle w:val="Normal"/>
              <w:snapToGrid w:val="false"/>
              <w:jc w:val="center"/>
              <w:rPr>
                <w:rFonts w:eastAsia="Calibri"/>
                <w:b/>
                <w:bCs/>
                <w:color w:val="000000"/>
                <w:sz w:val="18"/>
                <w:szCs w:val="18"/>
              </w:rPr>
            </w:pPr>
            <w:r>
              <w:rPr>
                <w:rFonts w:eastAsia="Calibri"/>
                <w:b/>
                <w:bCs/>
                <w:color w:val="000000"/>
                <w:sz w:val="18"/>
                <w:szCs w:val="18"/>
              </w:rPr>
            </w:r>
          </w:p>
        </w:tc>
      </w:tr>
      <w:tr>
        <w:trPr>
          <w:trHeight w:val="504" w:hRule="atLeast"/>
        </w:trPr>
        <w:tc>
          <w:tcPr>
            <w:tcW w:w="1611" w:type="dxa"/>
            <w:tcBorders>
              <w:start w:val="single" w:sz="8" w:space="0" w:color="000000"/>
              <w:bottom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Курсовые разницы</w:t>
            </w:r>
          </w:p>
        </w:tc>
        <w:tc>
          <w:tcPr>
            <w:tcW w:w="784" w:type="dxa"/>
            <w:tcBorders>
              <w:bottom w:val="single" w:sz="8" w:space="0" w:color="000000"/>
              <w:end w:val="single" w:sz="8" w:space="0" w:color="000000"/>
            </w:tcBorders>
            <w:vAlign w:val="bottom"/>
          </w:tcPr>
          <w:p>
            <w:pPr>
              <w:pStyle w:val="Normal"/>
              <w:snapToGrid w:val="false"/>
              <w:jc w:val="center"/>
              <w:rPr>
                <w:rFonts w:eastAsia="Calibri"/>
                <w:color w:val="000000"/>
                <w:sz w:val="18"/>
                <w:szCs w:val="18"/>
              </w:rPr>
            </w:pPr>
            <w:r>
              <w:rPr>
                <w:rFonts w:eastAsia="Calibri"/>
                <w:color w:val="000000"/>
                <w:sz w:val="18"/>
                <w:szCs w:val="18"/>
              </w:rPr>
            </w:r>
          </w:p>
        </w:tc>
        <w:tc>
          <w:tcPr>
            <w:tcW w:w="2197"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887</w:t>
            </w:r>
          </w:p>
        </w:tc>
        <w:tc>
          <w:tcPr>
            <w:tcW w:w="2263" w:type="dxa"/>
            <w:tcBorders>
              <w:bottom w:val="single" w:sz="8" w:space="0" w:color="000000"/>
              <w:end w:val="single" w:sz="8" w:space="0" w:color="000000"/>
            </w:tcBorders>
            <w:vAlign w:val="bottom"/>
          </w:tcPr>
          <w:p>
            <w:pPr>
              <w:pStyle w:val="Normal"/>
              <w:jc w:val="center"/>
              <w:rPr>
                <w:rFonts w:eastAsia="Calibri"/>
                <w:color w:val="000000"/>
                <w:sz w:val="18"/>
                <w:szCs w:val="18"/>
              </w:rPr>
            </w:pPr>
            <w:r>
              <w:rPr>
                <w:rFonts w:eastAsia="Calibri"/>
                <w:color w:val="000000"/>
                <w:sz w:val="18"/>
                <w:szCs w:val="18"/>
              </w:rPr>
              <w:t>(887)</w:t>
            </w:r>
          </w:p>
        </w:tc>
        <w:tc>
          <w:tcPr>
            <w:tcW w:w="2121" w:type="dxa"/>
            <w:gridSpan w:val="2"/>
            <w:tcBorders>
              <w:bottom w:val="single" w:sz="8" w:space="0" w:color="000000"/>
              <w:end w:val="single" w:sz="8" w:space="0" w:color="000000"/>
            </w:tcBorders>
            <w:vAlign w:val="bottom"/>
          </w:tcPr>
          <w:p>
            <w:pPr>
              <w:pStyle w:val="Normal"/>
              <w:jc w:val="center"/>
              <w:rPr>
                <w:rFonts w:eastAsia="Calibri"/>
                <w:color w:val="000000"/>
                <w:sz w:val="18"/>
                <w:szCs w:val="18"/>
              </w:rPr>
            </w:pPr>
            <w:r>
              <w:rPr>
                <w:rFonts w:eastAsia="Calibri"/>
                <w:color w:val="000000"/>
                <w:sz w:val="18"/>
                <w:szCs w:val="18"/>
              </w:rPr>
              <w:t>0</w:t>
            </w:r>
          </w:p>
        </w:tc>
      </w:tr>
      <w:tr>
        <w:trPr>
          <w:trHeight w:val="300" w:hRule="atLeast"/>
        </w:trPr>
        <w:tc>
          <w:tcPr>
            <w:tcW w:w="1611" w:type="dxa"/>
            <w:tcBorders>
              <w:start w:val="single" w:sz="8" w:space="0" w:color="000000"/>
              <w:bottom w:val="single" w:sz="8" w:space="0" w:color="000000"/>
              <w:end w:val="single" w:sz="8" w:space="0" w:color="000000"/>
            </w:tcBorders>
            <w:vAlign w:val="bottom"/>
          </w:tcPr>
          <w:p>
            <w:pPr>
              <w:pStyle w:val="Normal"/>
              <w:jc w:val="both"/>
              <w:rPr>
                <w:rFonts w:eastAsia="Calibri"/>
                <w:color w:val="000000"/>
                <w:sz w:val="18"/>
                <w:szCs w:val="18"/>
              </w:rPr>
            </w:pPr>
            <w:r>
              <w:rPr>
                <w:rFonts w:eastAsia="Calibri"/>
                <w:color w:val="000000"/>
                <w:sz w:val="18"/>
                <w:szCs w:val="18"/>
              </w:rPr>
              <w:t>Выбытие ОС</w:t>
            </w:r>
          </w:p>
        </w:tc>
        <w:tc>
          <w:tcPr>
            <w:tcW w:w="784" w:type="dxa"/>
            <w:tcBorders>
              <w:bottom w:val="single" w:sz="8" w:space="0" w:color="000000"/>
              <w:end w:val="single" w:sz="8" w:space="0" w:color="000000"/>
            </w:tcBorders>
            <w:vAlign w:val="bottom"/>
          </w:tcPr>
          <w:p>
            <w:pPr>
              <w:pStyle w:val="Normal"/>
              <w:snapToGrid w:val="false"/>
              <w:jc w:val="end"/>
              <w:rPr>
                <w:rFonts w:eastAsia="Calibri"/>
                <w:color w:val="000000"/>
                <w:sz w:val="18"/>
                <w:szCs w:val="18"/>
              </w:rPr>
            </w:pPr>
            <w:r>
              <w:rPr>
                <w:rFonts w:eastAsia="Calibri"/>
                <w:color w:val="000000"/>
                <w:sz w:val="18"/>
                <w:szCs w:val="18"/>
              </w:rPr>
            </w:r>
          </w:p>
        </w:tc>
        <w:tc>
          <w:tcPr>
            <w:tcW w:w="2197" w:type="dxa"/>
            <w:tcBorders>
              <w:bottom w:val="single" w:sz="8" w:space="0" w:color="000000"/>
              <w:end w:val="single" w:sz="8" w:space="0" w:color="000000"/>
            </w:tcBorders>
            <w:vAlign w:val="bottom"/>
          </w:tcPr>
          <w:p>
            <w:pPr>
              <w:pStyle w:val="Normal"/>
              <w:jc w:val="center"/>
              <w:rPr>
                <w:b/>
                <w:bCs/>
                <w:color w:val="000000"/>
                <w:sz w:val="18"/>
                <w:szCs w:val="18"/>
              </w:rPr>
            </w:pPr>
            <w:r>
              <w:rPr>
                <w:b/>
                <w:bCs/>
                <w:color w:val="000000"/>
                <w:sz w:val="18"/>
                <w:szCs w:val="18"/>
              </w:rPr>
              <w:t>276</w:t>
            </w:r>
          </w:p>
        </w:tc>
        <w:tc>
          <w:tcPr>
            <w:tcW w:w="2263" w:type="dxa"/>
            <w:tcBorders>
              <w:bottom w:val="single" w:sz="8" w:space="0" w:color="000000"/>
              <w:end w:val="single" w:sz="8" w:space="0" w:color="000000"/>
            </w:tcBorders>
            <w:vAlign w:val="bottom"/>
          </w:tcPr>
          <w:p>
            <w:pPr>
              <w:pStyle w:val="Normal"/>
              <w:jc w:val="center"/>
              <w:rPr>
                <w:rFonts w:eastAsia="Calibri"/>
                <w:color w:val="000000"/>
                <w:sz w:val="18"/>
                <w:szCs w:val="18"/>
              </w:rPr>
            </w:pPr>
            <w:r>
              <w:rPr>
                <w:rFonts w:eastAsia="Calibri"/>
                <w:color w:val="000000"/>
                <w:sz w:val="18"/>
                <w:szCs w:val="18"/>
              </w:rPr>
              <w:t>(276)</w:t>
            </w:r>
          </w:p>
        </w:tc>
        <w:tc>
          <w:tcPr>
            <w:tcW w:w="2121" w:type="dxa"/>
            <w:gridSpan w:val="2"/>
            <w:tcBorders>
              <w:bottom w:val="single" w:sz="8" w:space="0" w:color="000000"/>
              <w:end w:val="single" w:sz="8" w:space="0" w:color="000000"/>
            </w:tcBorders>
            <w:vAlign w:val="bottom"/>
          </w:tcPr>
          <w:p>
            <w:pPr>
              <w:pStyle w:val="Normal"/>
              <w:jc w:val="center"/>
              <w:rPr>
                <w:rFonts w:eastAsia="Calibri"/>
                <w:color w:val="000000"/>
                <w:sz w:val="18"/>
                <w:szCs w:val="18"/>
              </w:rPr>
            </w:pPr>
            <w:r>
              <w:rPr>
                <w:rFonts w:eastAsia="Calibri"/>
                <w:color w:val="000000"/>
                <w:sz w:val="18"/>
                <w:szCs w:val="18"/>
              </w:rPr>
              <w:t>0</w:t>
            </w:r>
          </w:p>
        </w:tc>
      </w:tr>
    </w:tbl>
    <w:p>
      <w:pPr>
        <w:pStyle w:val="Normal"/>
        <w:tabs>
          <w:tab w:val="clear" w:pos="708"/>
          <w:tab w:val="left" w:pos="810" w:leader="none"/>
        </w:tabs>
        <w:ind w:firstLine="567" w:end="0"/>
        <w:rPr>
          <w:b/>
          <w:sz w:val="24"/>
          <w:szCs w:val="24"/>
          <w:lang w:eastAsia="en-US"/>
        </w:rPr>
      </w:pPr>
      <w:r>
        <w:rPr>
          <w:b/>
          <w:sz w:val="24"/>
          <w:szCs w:val="24"/>
          <w:lang w:eastAsia="en-US"/>
        </w:rPr>
      </w:r>
    </w:p>
    <w:p>
      <w:pPr>
        <w:pStyle w:val="Normal"/>
        <w:ind w:firstLine="567" w:end="0"/>
        <w:jc w:val="center"/>
        <w:rPr>
          <w:b/>
          <w:sz w:val="24"/>
          <w:szCs w:val="24"/>
          <w:lang w:eastAsia="en-US"/>
        </w:rPr>
      </w:pPr>
      <w:r>
        <w:rPr>
          <w:b/>
          <w:sz w:val="24"/>
          <w:szCs w:val="24"/>
          <w:lang w:eastAsia="en-US"/>
        </w:rPr>
      </w:r>
    </w:p>
    <w:p>
      <w:pPr>
        <w:pStyle w:val="Normal"/>
        <w:ind w:firstLine="567" w:end="0"/>
        <w:jc w:val="center"/>
        <w:rPr>
          <w:b/>
          <w:sz w:val="24"/>
          <w:szCs w:val="24"/>
          <w:lang w:eastAsia="en-US"/>
        </w:rPr>
      </w:pPr>
      <w:r>
        <w:rPr>
          <w:b/>
          <w:sz w:val="24"/>
          <w:szCs w:val="24"/>
          <w:lang w:eastAsia="en-US"/>
        </w:rPr>
      </w:r>
    </w:p>
    <w:p>
      <w:pPr>
        <w:pStyle w:val="Normal"/>
        <w:ind w:firstLine="567" w:end="0"/>
        <w:jc w:val="center"/>
        <w:rPr>
          <w:b/>
          <w:sz w:val="24"/>
          <w:szCs w:val="24"/>
        </w:rPr>
      </w:pPr>
      <w:r>
        <w:rPr>
          <w:b/>
          <w:sz w:val="24"/>
          <w:szCs w:val="24"/>
        </w:rPr>
      </w:r>
    </w:p>
    <w:p>
      <w:pPr>
        <w:pStyle w:val="Normal"/>
        <w:ind w:firstLine="567" w:end="0"/>
        <w:jc w:val="center"/>
        <w:rPr>
          <w:b/>
          <w:sz w:val="24"/>
          <w:szCs w:val="24"/>
        </w:rPr>
      </w:pPr>
      <w:r>
        <w:rPr>
          <w:b/>
          <w:sz w:val="24"/>
          <w:szCs w:val="24"/>
        </w:rPr>
      </w:r>
    </w:p>
    <w:p>
      <w:pPr>
        <w:pStyle w:val="Normal"/>
        <w:ind w:firstLine="567" w:end="0"/>
        <w:jc w:val="center"/>
        <w:rPr>
          <w:b/>
          <w:sz w:val="24"/>
          <w:szCs w:val="24"/>
        </w:rPr>
      </w:pPr>
      <w:r>
        <w:rPr>
          <w:b/>
          <w:sz w:val="24"/>
          <w:szCs w:val="24"/>
        </w:rPr>
      </w:r>
    </w:p>
    <w:p>
      <w:pPr>
        <w:pStyle w:val="Normal"/>
        <w:ind w:firstLine="567" w:end="0"/>
        <w:jc w:val="center"/>
        <w:rPr>
          <w:sz w:val="24"/>
          <w:szCs w:val="24"/>
        </w:rPr>
      </w:pPr>
      <w:r>
        <w:rPr>
          <w:b/>
          <w:sz w:val="24"/>
          <w:szCs w:val="24"/>
        </w:rPr>
        <w:t xml:space="preserve"> </w:t>
      </w:r>
      <w:r>
        <w:rPr>
          <w:b/>
          <w:sz w:val="24"/>
          <w:szCs w:val="24"/>
        </w:rPr>
        <w:t>12. Информация о наличии и движении отдельных видов активов и обязательств.</w:t>
      </w:r>
    </w:p>
    <w:p>
      <w:pPr>
        <w:pStyle w:val="Normal"/>
        <w:jc w:val="both"/>
        <w:rPr>
          <w:sz w:val="24"/>
          <w:szCs w:val="24"/>
        </w:rPr>
      </w:pPr>
      <w:r>
        <w:rPr>
          <w:sz w:val="24"/>
          <w:szCs w:val="24"/>
        </w:rPr>
        <w:t xml:space="preserve">         </w:t>
      </w:r>
    </w:p>
    <w:p>
      <w:pPr>
        <w:pStyle w:val="Heading1"/>
        <w:numPr>
          <w:ilvl w:val="0"/>
          <w:numId w:val="0"/>
        </w:numPr>
        <w:ind w:hanging="0" w:start="0"/>
        <w:jc w:val="center"/>
        <w:rPr>
          <w:rFonts w:cs="Times New Roman"/>
          <w:sz w:val="24"/>
          <w:szCs w:val="24"/>
          <w:lang w:val="ru-RU"/>
        </w:rPr>
      </w:pPr>
      <w:r>
        <w:rPr>
          <w:rFonts w:cs="Times New Roman" w:ascii="Times New Roman" w:hAnsi="Times New Roman"/>
          <w:sz w:val="24"/>
          <w:szCs w:val="24"/>
          <w:lang w:val="ru-RU"/>
        </w:rPr>
        <w:t>12.1</w:t>
      </w:r>
      <w:r>
        <w:rPr>
          <w:rFonts w:cs="Times New Roman" w:ascii="Times New Roman" w:hAnsi="Times New Roman"/>
          <w:sz w:val="24"/>
          <w:szCs w:val="24"/>
        </w:rPr>
        <w:t>. Финансовые вложения</w:t>
      </w:r>
      <w:r>
        <w:rPr>
          <w:rFonts w:cs="Times New Roman" w:ascii="Times New Roman" w:hAnsi="Times New Roman"/>
          <w:sz w:val="24"/>
          <w:szCs w:val="24"/>
          <w:lang w:val="ru-RU"/>
        </w:rPr>
        <w:t>.</w:t>
      </w:r>
    </w:p>
    <w:p>
      <w:pPr>
        <w:pStyle w:val="Normal"/>
        <w:rPr>
          <w:rFonts w:cs="Times New Roman"/>
          <w:sz w:val="24"/>
          <w:szCs w:val="24"/>
          <w:lang w:val="ru-RU"/>
        </w:rPr>
      </w:pPr>
      <w:r>
        <w:rPr>
          <w:rFonts w:cs="Times New Roman"/>
          <w:sz w:val="24"/>
          <w:szCs w:val="24"/>
          <w:lang w:val="ru-RU"/>
        </w:rPr>
      </w:r>
    </w:p>
    <w:p>
      <w:pPr>
        <w:pStyle w:val="Normal"/>
        <w:autoSpaceDE w:val="false"/>
        <w:ind w:firstLine="709" w:end="0"/>
        <w:jc w:val="both"/>
        <w:rPr>
          <w:sz w:val="24"/>
          <w:szCs w:val="24"/>
        </w:rPr>
      </w:pPr>
      <w:r>
        <w:rPr>
          <w:sz w:val="24"/>
          <w:szCs w:val="24"/>
        </w:rPr>
        <w:t xml:space="preserve"> </w:t>
      </w:r>
      <w:r>
        <w:rPr>
          <w:sz w:val="24"/>
          <w:szCs w:val="24"/>
        </w:rPr>
        <w:t>На балансе Общества числятся финансовые вложения – займы по состоянию на 31.12.2025 на общую сумму 153 050 тыс. руб., в т.ч. долгосрочные 4 050 тыс. руб., краткосрочные 149 000 тыс. руб.</w:t>
      </w:r>
    </w:p>
    <w:p>
      <w:pPr>
        <w:pStyle w:val="Normal"/>
        <w:autoSpaceDE w:val="false"/>
        <w:ind w:firstLine="709" w:end="0"/>
        <w:jc w:val="both"/>
        <w:rPr/>
      </w:pPr>
      <w:r>
        <w:rPr>
          <w:sz w:val="24"/>
          <w:szCs w:val="24"/>
        </w:rPr>
        <w:t>На 31.12.2024 года Общество имело финансовые вложения на сумму 273 937 тыс. руб., в т.ч. долгосрочные 255 877 тыс. руб. со сроком погашения 2027 г. – 2030 г., краткосрочные 18 060 тыс. руб.</w:t>
      </w:r>
    </w:p>
    <w:p>
      <w:pPr>
        <w:pStyle w:val="Normal"/>
        <w:autoSpaceDE w:val="false"/>
        <w:ind w:firstLine="708" w:end="0"/>
        <w:jc w:val="both"/>
        <w:rPr>
          <w:sz w:val="24"/>
          <w:szCs w:val="24"/>
          <w:shd w:fill="FFE994" w:val="clear"/>
        </w:rPr>
      </w:pPr>
      <w:r>
        <w:rPr>
          <w:sz w:val="24"/>
          <w:szCs w:val="24"/>
        </w:rPr>
        <w:t xml:space="preserve">Проценты, начисленные по займам за 2025 г. составили – 9 949 тыс. руб., в т.ч. по долгосрочным финансовым вложениям 4 734 тыс. руб., краткосрочным 5 215 тыс. руб.   Аналогичный показатель за 2024 год – 15 745 тыс. руб., в т.ч. по долгосрочным финансовым вложениям 13 583 тыс. руб., краткосрочным 2 162 тыс. руб. </w:t>
      </w:r>
    </w:p>
    <w:p>
      <w:pPr>
        <w:pStyle w:val="Normal"/>
        <w:autoSpaceDE w:val="false"/>
        <w:ind w:firstLine="708" w:end="0"/>
        <w:jc w:val="both"/>
        <w:rPr>
          <w:sz w:val="24"/>
          <w:szCs w:val="24"/>
          <w:shd w:fill="FFE994" w:val="clear"/>
        </w:rPr>
      </w:pPr>
      <w:r>
        <w:rPr>
          <w:sz w:val="24"/>
          <w:szCs w:val="24"/>
          <w:shd w:fill="FFE994" w:val="clear"/>
        </w:rPr>
      </w:r>
    </w:p>
    <w:p>
      <w:pPr>
        <w:pStyle w:val="Normal"/>
        <w:rPr>
          <w:sz w:val="24"/>
          <w:szCs w:val="24"/>
          <w:highlight w:val="yellow"/>
          <w:shd w:fill="FFE994" w:val="clear"/>
        </w:rPr>
      </w:pPr>
      <w:r>
        <w:rPr>
          <w:sz w:val="24"/>
          <w:szCs w:val="24"/>
          <w:highlight w:val="yellow"/>
          <w:shd w:fill="FFE994" w:val="clear"/>
        </w:rPr>
      </w:r>
    </w:p>
    <w:p>
      <w:pPr>
        <w:pStyle w:val="Heading1"/>
        <w:ind w:hanging="0" w:start="0"/>
        <w:jc w:val="center"/>
        <w:rPr>
          <w:rFonts w:ascii="Times New Roman" w:hAnsi="Times New Roman" w:cs="Times New Roman"/>
          <w:sz w:val="24"/>
          <w:szCs w:val="24"/>
          <w:highlight w:val="yellow"/>
          <w:lang w:val="ru-RU"/>
        </w:rPr>
      </w:pPr>
      <w:r>
        <w:rPr>
          <w:rFonts w:cs="Times New Roman" w:ascii="Times New Roman" w:hAnsi="Times New Roman"/>
          <w:sz w:val="24"/>
          <w:szCs w:val="24"/>
          <w:highlight w:val="yellow"/>
          <w:shd w:fill="FFE994" w:val="clear"/>
          <w:lang w:val="ru-RU"/>
        </w:rPr>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rPr>
        <w:t>Раздел 1</w:t>
      </w:r>
      <w:r>
        <w:rPr>
          <w:rFonts w:cs="Times New Roman" w:ascii="Times New Roman" w:hAnsi="Times New Roman"/>
          <w:sz w:val="24"/>
          <w:szCs w:val="24"/>
          <w:lang w:val="ru-RU"/>
        </w:rPr>
        <w:t>2</w:t>
      </w:r>
      <w:r>
        <w:rPr>
          <w:rFonts w:cs="Times New Roman" w:ascii="Times New Roman" w:hAnsi="Times New Roman"/>
          <w:sz w:val="24"/>
          <w:szCs w:val="24"/>
        </w:rPr>
        <w:t>.</w:t>
      </w:r>
      <w:r>
        <w:rPr>
          <w:rFonts w:cs="Times New Roman" w:ascii="Times New Roman" w:hAnsi="Times New Roman"/>
          <w:sz w:val="24"/>
          <w:szCs w:val="24"/>
          <w:lang w:val="ru-RU"/>
        </w:rPr>
        <w:t>2</w:t>
      </w:r>
      <w:r>
        <w:rPr>
          <w:rFonts w:cs="Times New Roman" w:ascii="Times New Roman" w:hAnsi="Times New Roman"/>
          <w:sz w:val="24"/>
          <w:szCs w:val="24"/>
        </w:rPr>
        <w:t>. Расшифровка доходов и расходов.</w:t>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lang w:val="ru-RU"/>
        </w:rPr>
      </w:r>
    </w:p>
    <w:tbl>
      <w:tblPr>
        <w:tblW w:w="8820" w:type="dxa"/>
        <w:jc w:val="start"/>
        <w:tblInd w:w="360" w:type="dxa"/>
        <w:tblLayout w:type="fixed"/>
        <w:tblCellMar>
          <w:top w:w="0" w:type="dxa"/>
          <w:start w:w="108" w:type="dxa"/>
          <w:bottom w:w="0" w:type="dxa"/>
          <w:end w:w="108" w:type="dxa"/>
        </w:tblCellMar>
      </w:tblPr>
      <w:tblGrid>
        <w:gridCol w:w="4851"/>
        <w:gridCol w:w="1985"/>
        <w:gridCol w:w="1984"/>
      </w:tblGrid>
      <w:tr>
        <w:trPr/>
        <w:tc>
          <w:tcPr>
            <w:tcW w:w="4851" w:type="dxa"/>
            <w:tcBorders>
              <w:top w:val="single" w:sz="4" w:space="0" w:color="000000"/>
              <w:start w:val="single" w:sz="4" w:space="0" w:color="000000"/>
              <w:bottom w:val="single" w:sz="4" w:space="0" w:color="000000"/>
              <w:end w:val="single" w:sz="4" w:space="0" w:color="000000"/>
            </w:tcBorders>
          </w:tcPr>
          <w:p>
            <w:pPr>
              <w:pStyle w:val="212"/>
              <w:jc w:val="center"/>
              <w:rPr>
                <w:b/>
                <w:sz w:val="20"/>
                <w:lang w:val="ru-RU" w:eastAsia="ru-RU"/>
              </w:rPr>
            </w:pPr>
            <w:r>
              <w:rPr>
                <w:b/>
                <w:sz w:val="20"/>
                <w:lang w:val="ru-RU" w:eastAsia="ru-RU"/>
              </w:rPr>
              <w:t>Показатель</w:t>
            </w:r>
          </w:p>
        </w:tc>
        <w:tc>
          <w:tcPr>
            <w:tcW w:w="1985"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 xml:space="preserve">Сумма, </w:t>
            </w:r>
          </w:p>
          <w:p>
            <w:pPr>
              <w:pStyle w:val="212"/>
              <w:jc w:val="both"/>
              <w:rPr>
                <w:b/>
                <w:sz w:val="20"/>
                <w:lang w:val="ru-RU" w:eastAsia="ru-RU"/>
              </w:rPr>
            </w:pPr>
            <w:r>
              <w:rPr>
                <w:b/>
                <w:sz w:val="20"/>
                <w:lang w:val="ru-RU" w:eastAsia="ru-RU"/>
              </w:rPr>
              <w:t>тыс. руб. за 2025 г.</w:t>
            </w:r>
          </w:p>
        </w:tc>
        <w:tc>
          <w:tcPr>
            <w:tcW w:w="1984"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 xml:space="preserve">Сумма, </w:t>
            </w:r>
          </w:p>
          <w:p>
            <w:pPr>
              <w:pStyle w:val="212"/>
              <w:jc w:val="both"/>
              <w:rPr>
                <w:b/>
                <w:sz w:val="20"/>
                <w:lang w:val="ru-RU" w:eastAsia="ru-RU"/>
              </w:rPr>
            </w:pPr>
            <w:r>
              <w:rPr>
                <w:b/>
                <w:sz w:val="20"/>
                <w:lang w:val="ru-RU" w:eastAsia="ru-RU"/>
              </w:rPr>
              <w:t xml:space="preserve">тыс. руб. за 2024 г. </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b/>
              </w:rPr>
            </w:pPr>
            <w:r>
              <w:rPr>
                <w:b/>
              </w:rPr>
              <w:t>Доходы от реализации  (без НДС)</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b/>
                <w:sz w:val="20"/>
                <w:lang w:val="ru-RU"/>
              </w:rPr>
            </w:pPr>
            <w:r>
              <w:rPr>
                <w:b/>
                <w:sz w:val="20"/>
                <w:lang w:val="ru-RU"/>
              </w:rPr>
              <w:t>1245217</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b/>
                <w:sz w:val="22"/>
                <w:szCs w:val="22"/>
                <w:lang w:val="ru-RU"/>
              </w:rPr>
            </w:pPr>
            <w:r>
              <w:rPr>
                <w:b/>
                <w:sz w:val="22"/>
                <w:szCs w:val="22"/>
                <w:lang w:val="ru-RU"/>
              </w:rPr>
              <w:t>911645</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в том числе:</w:t>
            </w:r>
          </w:p>
        </w:tc>
        <w:tc>
          <w:tcPr>
            <w:tcW w:w="1985" w:type="dxa"/>
            <w:tcBorders>
              <w:top w:val="single" w:sz="4" w:space="0" w:color="000000"/>
              <w:start w:val="single" w:sz="4" w:space="0" w:color="000000"/>
              <w:bottom w:val="single" w:sz="4" w:space="0" w:color="000000"/>
              <w:end w:val="single" w:sz="4" w:space="0" w:color="000000"/>
            </w:tcBorders>
          </w:tcPr>
          <w:p>
            <w:pPr>
              <w:pStyle w:val="212"/>
              <w:snapToGrid w:val="false"/>
              <w:jc w:val="end"/>
              <w:rPr>
                <w:sz w:val="20"/>
                <w:lang w:val="ru-RU" w:eastAsia="ru-RU"/>
              </w:rPr>
            </w:pPr>
            <w:r>
              <w:rPr>
                <w:sz w:val="20"/>
                <w:lang w:val="ru-RU" w:eastAsia="ru-RU"/>
              </w:rPr>
            </w:r>
          </w:p>
        </w:tc>
        <w:tc>
          <w:tcPr>
            <w:tcW w:w="1984" w:type="dxa"/>
            <w:tcBorders>
              <w:top w:val="single" w:sz="4" w:space="0" w:color="000000"/>
              <w:start w:val="single" w:sz="4" w:space="0" w:color="000000"/>
              <w:bottom w:val="single" w:sz="4" w:space="0" w:color="000000"/>
              <w:end w:val="single" w:sz="4" w:space="0" w:color="000000"/>
            </w:tcBorders>
          </w:tcPr>
          <w:p>
            <w:pPr>
              <w:pStyle w:val="212"/>
              <w:snapToGrid w:val="false"/>
              <w:jc w:val="end"/>
              <w:rPr>
                <w:sz w:val="20"/>
                <w:lang w:val="ru-RU" w:eastAsia="ru-RU"/>
              </w:rPr>
            </w:pPr>
            <w:r>
              <w:rPr>
                <w:sz w:val="20"/>
                <w:lang w:val="ru-RU" w:eastAsia="ru-RU"/>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Выручка  от  реализации    продукции, работ, услуг</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1229009</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901633</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Выручка  от  реализации  товаров</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13375</w:t>
            </w:r>
          </w:p>
          <w:p>
            <w:pPr>
              <w:pStyle w:val="212"/>
              <w:jc w:val="end"/>
              <w:rPr>
                <w:sz w:val="20"/>
                <w:lang w:val="ru-RU" w:eastAsia="ru-RU"/>
              </w:rPr>
            </w:pPr>
            <w:r>
              <w:rPr>
                <w:sz w:val="20"/>
                <w:lang w:val="ru-RU" w:eastAsia="ru-RU"/>
              </w:rPr>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10012</w:t>
            </w:r>
          </w:p>
          <w:p>
            <w:pPr>
              <w:pStyle w:val="212"/>
              <w:jc w:val="end"/>
              <w:rPr>
                <w:sz w:val="20"/>
                <w:lang w:val="ru-RU" w:eastAsia="ru-RU"/>
              </w:rPr>
            </w:pPr>
            <w:r>
              <w:rPr>
                <w:sz w:val="20"/>
                <w:lang w:val="ru-RU" w:eastAsia="ru-RU"/>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b/>
              </w:rPr>
            </w:pPr>
            <w:r>
              <w:rPr>
                <w:b/>
              </w:rPr>
              <w:t>Прочие  доходы (без НДС)</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pPr>
            <w:r>
              <w:rPr>
                <w:b/>
                <w:sz w:val="20"/>
                <w:lang w:val="ru-RU" w:eastAsia="ru-RU"/>
              </w:rPr>
              <w:t>36195</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b/>
                <w:sz w:val="20"/>
                <w:lang w:val="ru-RU"/>
              </w:rPr>
            </w:pPr>
            <w:r>
              <w:rPr>
                <w:b/>
                <w:sz w:val="20"/>
                <w:lang w:val="ru-RU"/>
              </w:rPr>
              <w:t>34661</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 xml:space="preserve">  </w:t>
            </w:r>
            <w:r>
              <w:rPr/>
              <w:t>в том числе</w:t>
            </w:r>
          </w:p>
        </w:tc>
        <w:tc>
          <w:tcPr>
            <w:tcW w:w="1985" w:type="dxa"/>
            <w:tcBorders>
              <w:top w:val="single" w:sz="4" w:space="0" w:color="000000"/>
              <w:start w:val="single" w:sz="4" w:space="0" w:color="000000"/>
              <w:bottom w:val="single" w:sz="4" w:space="0" w:color="000000"/>
              <w:end w:val="single" w:sz="4" w:space="0" w:color="000000"/>
            </w:tcBorders>
          </w:tcPr>
          <w:p>
            <w:pPr>
              <w:pStyle w:val="212"/>
              <w:snapToGrid w:val="false"/>
              <w:jc w:val="end"/>
              <w:rPr>
                <w:b/>
                <w:sz w:val="20"/>
                <w:lang w:val="ru-RU" w:eastAsia="ru-RU"/>
              </w:rPr>
            </w:pPr>
            <w:r>
              <w:rPr>
                <w:b/>
                <w:sz w:val="20"/>
                <w:lang w:val="ru-RU" w:eastAsia="ru-RU"/>
              </w:rPr>
            </w:r>
          </w:p>
        </w:tc>
        <w:tc>
          <w:tcPr>
            <w:tcW w:w="1984" w:type="dxa"/>
            <w:tcBorders>
              <w:top w:val="single" w:sz="4" w:space="0" w:color="000000"/>
              <w:start w:val="single" w:sz="4" w:space="0" w:color="000000"/>
              <w:bottom w:val="single" w:sz="4" w:space="0" w:color="000000"/>
              <w:end w:val="single" w:sz="4" w:space="0" w:color="000000"/>
            </w:tcBorders>
          </w:tcPr>
          <w:p>
            <w:pPr>
              <w:pStyle w:val="212"/>
              <w:snapToGrid w:val="false"/>
              <w:jc w:val="end"/>
              <w:rPr>
                <w:b/>
                <w:sz w:val="20"/>
                <w:lang w:val="ru-RU" w:eastAsia="ru-RU"/>
              </w:rPr>
            </w:pPr>
            <w:r>
              <w:rPr>
                <w:b/>
                <w:sz w:val="20"/>
                <w:lang w:val="ru-RU" w:eastAsia="ru-RU"/>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Проценты  к  получению</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9949</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15745</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Курсовые разницы  по  расчетам  в  у.е.</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478</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85</w:t>
            </w:r>
          </w:p>
        </w:tc>
      </w:tr>
      <w:tr>
        <w:trPr>
          <w:trHeight w:val="266" w:hRule="atLeast"/>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Реализация ТМЦ</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24631</w:t>
            </w:r>
          </w:p>
          <w:p>
            <w:pPr>
              <w:pStyle w:val="212"/>
              <w:jc w:val="end"/>
              <w:rPr>
                <w:sz w:val="20"/>
                <w:lang w:val="ru-RU" w:eastAsia="ru-RU"/>
              </w:rPr>
            </w:pPr>
            <w:r>
              <w:rPr>
                <w:sz w:val="20"/>
                <w:lang w:val="ru-RU" w:eastAsia="ru-RU"/>
              </w:rPr>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17060</w:t>
            </w:r>
          </w:p>
          <w:p>
            <w:pPr>
              <w:pStyle w:val="212"/>
              <w:jc w:val="end"/>
              <w:rPr>
                <w:sz w:val="20"/>
                <w:lang w:val="ru-RU" w:eastAsia="ru-RU"/>
              </w:rPr>
            </w:pPr>
            <w:r>
              <w:rPr>
                <w:sz w:val="20"/>
                <w:lang w:val="ru-RU" w:eastAsia="ru-RU"/>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pPr>
            <w:r>
              <w:rPr/>
              <w:t>Прочие  доходы</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pPr>
            <w:r>
              <w:rPr>
                <w:sz w:val="20"/>
                <w:lang w:val="ru-RU"/>
              </w:rPr>
              <w:t>1137</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2118</w:t>
            </w:r>
          </w:p>
        </w:tc>
      </w:tr>
      <w:tr>
        <w:trPr/>
        <w:tc>
          <w:tcPr>
            <w:tcW w:w="4851" w:type="dxa"/>
            <w:tcBorders>
              <w:top w:val="single" w:sz="4" w:space="0" w:color="000000"/>
              <w:start w:val="single" w:sz="4" w:space="0" w:color="000000"/>
              <w:bottom w:val="single" w:sz="4" w:space="0" w:color="000000"/>
              <w:end w:val="single" w:sz="4" w:space="0" w:color="000000"/>
            </w:tcBorders>
          </w:tcPr>
          <w:p>
            <w:pPr>
              <w:pStyle w:val="Normal"/>
              <w:rPr>
                <w:b/>
              </w:rPr>
            </w:pPr>
            <w:r>
              <w:rPr>
                <w:b/>
              </w:rPr>
              <w:t>ИТОГО ДОХОДОВ</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pPr>
            <w:r>
              <w:rPr>
                <w:b/>
                <w:sz w:val="20"/>
                <w:lang w:val="ru-RU"/>
              </w:rPr>
              <w:t>1281412</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b/>
                <w:sz w:val="20"/>
                <w:lang w:val="ru-RU"/>
              </w:rPr>
            </w:pPr>
            <w:r>
              <w:rPr>
                <w:b/>
                <w:sz w:val="20"/>
                <w:lang w:val="ru-RU"/>
              </w:rPr>
              <w:t>947470</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Расходы:</w:t>
            </w:r>
          </w:p>
        </w:tc>
        <w:tc>
          <w:tcPr>
            <w:tcW w:w="1985" w:type="dxa"/>
            <w:tcBorders>
              <w:top w:val="single" w:sz="4" w:space="0" w:color="000000"/>
              <w:start w:val="single" w:sz="4" w:space="0" w:color="000000"/>
              <w:bottom w:val="single" w:sz="4" w:space="0" w:color="000000"/>
              <w:end w:val="single" w:sz="4" w:space="0" w:color="000000"/>
            </w:tcBorders>
          </w:tcPr>
          <w:p>
            <w:pPr>
              <w:pStyle w:val="212"/>
              <w:snapToGrid w:val="false"/>
              <w:jc w:val="end"/>
              <w:rPr/>
            </w:pPr>
            <w:r>
              <w:rPr/>
            </w:r>
          </w:p>
        </w:tc>
        <w:tc>
          <w:tcPr>
            <w:tcW w:w="1984" w:type="dxa"/>
            <w:tcBorders>
              <w:top w:val="single" w:sz="4" w:space="0" w:color="000000"/>
              <w:start w:val="single" w:sz="4" w:space="0" w:color="000000"/>
              <w:bottom w:val="single" w:sz="4" w:space="0" w:color="000000"/>
              <w:end w:val="single" w:sz="4" w:space="0" w:color="000000"/>
            </w:tcBorders>
          </w:tcPr>
          <w:p>
            <w:pPr>
              <w:pStyle w:val="212"/>
              <w:snapToGrid w:val="false"/>
              <w:jc w:val="end"/>
              <w:rPr/>
            </w:pPr>
            <w:r>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Себестоимость продукции</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1182762</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776727</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Себестоимость товаров, работ, услуг</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12 700</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12282</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Коммерческие расходы</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39987</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31302</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Управленческие расходы</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48631</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47946</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Прочие расходы</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eastAsia="ru-RU"/>
              </w:rPr>
            </w:pPr>
            <w:r>
              <w:rPr>
                <w:sz w:val="20"/>
                <w:lang w:val="ru-RU" w:eastAsia="ru-RU"/>
              </w:rPr>
              <w:t>26972</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21941</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sz w:val="20"/>
                <w:lang w:val="ru-RU" w:eastAsia="ru-RU"/>
              </w:rPr>
            </w:pPr>
            <w:r>
              <w:rPr>
                <w:sz w:val="20"/>
                <w:lang w:val="ru-RU" w:eastAsia="ru-RU"/>
              </w:rPr>
              <w:t>в том числе;</w:t>
            </w:r>
          </w:p>
        </w:tc>
        <w:tc>
          <w:tcPr>
            <w:tcW w:w="1985" w:type="dxa"/>
            <w:tcBorders>
              <w:top w:val="single" w:sz="4" w:space="0" w:color="000000"/>
              <w:start w:val="single" w:sz="4" w:space="0" w:color="000000"/>
              <w:bottom w:val="single" w:sz="4" w:space="0" w:color="000000"/>
              <w:end w:val="single" w:sz="4" w:space="0" w:color="000000"/>
            </w:tcBorders>
          </w:tcPr>
          <w:p>
            <w:pPr>
              <w:pStyle w:val="212"/>
              <w:snapToGrid w:val="false"/>
              <w:jc w:val="end"/>
              <w:rPr>
                <w:sz w:val="20"/>
                <w:lang w:val="ru-RU" w:eastAsia="ru-RU"/>
              </w:rPr>
            </w:pPr>
            <w:r>
              <w:rPr>
                <w:sz w:val="20"/>
                <w:lang w:val="ru-RU" w:eastAsia="ru-RU"/>
              </w:rPr>
            </w:r>
          </w:p>
        </w:tc>
        <w:tc>
          <w:tcPr>
            <w:tcW w:w="1984" w:type="dxa"/>
            <w:tcBorders>
              <w:top w:val="single" w:sz="4" w:space="0" w:color="000000"/>
              <w:start w:val="single" w:sz="4" w:space="0" w:color="000000"/>
              <w:bottom w:val="single" w:sz="4" w:space="0" w:color="000000"/>
              <w:end w:val="single" w:sz="4" w:space="0" w:color="000000"/>
            </w:tcBorders>
          </w:tcPr>
          <w:p>
            <w:pPr>
              <w:pStyle w:val="212"/>
              <w:snapToGrid w:val="false"/>
              <w:jc w:val="end"/>
              <w:rPr>
                <w:sz w:val="20"/>
                <w:lang w:val="ru-RU" w:eastAsia="ru-RU"/>
              </w:rPr>
            </w:pPr>
            <w:r>
              <w:rPr>
                <w:sz w:val="20"/>
                <w:lang w:val="ru-RU" w:eastAsia="ru-RU"/>
              </w:rPr>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sz w:val="20"/>
                <w:lang w:val="ru-RU" w:eastAsia="ru-RU"/>
              </w:rPr>
            </w:pPr>
            <w:r>
              <w:rPr>
                <w:sz w:val="20"/>
                <w:lang w:val="ru-RU" w:eastAsia="ru-RU"/>
              </w:rPr>
              <w:t>- расходы от реализации ТМЦ</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22488</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15316</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pPr>
            <w:r>
              <w:rPr>
                <w:sz w:val="20"/>
                <w:lang w:val="ru-RU" w:eastAsia="ru-RU"/>
              </w:rPr>
              <w:t>- проценты к уплате</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421</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188</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sz w:val="20"/>
                <w:lang w:val="ru-RU"/>
              </w:rPr>
            </w:pPr>
            <w:r>
              <w:rPr>
                <w:sz w:val="20"/>
                <w:lang w:val="ru-RU"/>
              </w:rPr>
              <w:t>-прочие  расходы</w:t>
            </w:r>
          </w:p>
        </w:tc>
        <w:tc>
          <w:tcPr>
            <w:tcW w:w="1985" w:type="dxa"/>
            <w:tcBorders>
              <w:top w:val="single" w:sz="4" w:space="0" w:color="000000"/>
              <w:start w:val="single" w:sz="4" w:space="0" w:color="000000"/>
              <w:bottom w:val="single" w:sz="4" w:space="0" w:color="000000"/>
              <w:end w:val="single" w:sz="4" w:space="0" w:color="000000"/>
            </w:tcBorders>
          </w:tcPr>
          <w:p>
            <w:pPr>
              <w:pStyle w:val="212"/>
              <w:jc w:val="end"/>
              <w:rPr/>
            </w:pPr>
            <w:r>
              <w:rPr>
                <w:sz w:val="20"/>
                <w:lang w:val="ru-RU"/>
              </w:rPr>
              <w:t>4063</w:t>
            </w:r>
          </w:p>
        </w:tc>
        <w:tc>
          <w:tcPr>
            <w:tcW w:w="1984" w:type="dxa"/>
            <w:tcBorders>
              <w:top w:val="single" w:sz="4" w:space="0" w:color="000000"/>
              <w:start w:val="single" w:sz="4" w:space="0" w:color="000000"/>
              <w:bottom w:val="single" w:sz="4" w:space="0" w:color="000000"/>
              <w:end w:val="single" w:sz="4" w:space="0" w:color="000000"/>
            </w:tcBorders>
          </w:tcPr>
          <w:p>
            <w:pPr>
              <w:pStyle w:val="212"/>
              <w:jc w:val="end"/>
              <w:rPr>
                <w:sz w:val="20"/>
                <w:lang w:val="ru-RU"/>
              </w:rPr>
            </w:pPr>
            <w:r>
              <w:rPr>
                <w:sz w:val="20"/>
                <w:lang w:val="ru-RU"/>
              </w:rPr>
              <w:t>6625</w:t>
            </w:r>
          </w:p>
        </w:tc>
      </w:tr>
      <w:tr>
        <w:trPr/>
        <w:tc>
          <w:tcPr>
            <w:tcW w:w="4851" w:type="dxa"/>
            <w:tcBorders>
              <w:top w:val="single" w:sz="4" w:space="0" w:color="000000"/>
              <w:start w:val="single" w:sz="4" w:space="0" w:color="000000"/>
              <w:bottom w:val="single" w:sz="4" w:space="0" w:color="000000"/>
              <w:end w:val="single" w:sz="4" w:space="0" w:color="000000"/>
            </w:tcBorders>
          </w:tcPr>
          <w:p>
            <w:pPr>
              <w:pStyle w:val="212"/>
              <w:jc w:val="both"/>
              <w:rPr>
                <w:b/>
                <w:sz w:val="20"/>
                <w:lang w:val="ru-RU" w:eastAsia="ru-RU"/>
              </w:rPr>
            </w:pPr>
            <w:r>
              <w:rPr>
                <w:b/>
                <w:sz w:val="20"/>
                <w:lang w:val="ru-RU" w:eastAsia="ru-RU"/>
              </w:rPr>
              <w:t>ИТОГО РАСХОДОВ</w:t>
            </w:r>
          </w:p>
        </w:tc>
        <w:tc>
          <w:tcPr>
            <w:tcW w:w="1985" w:type="dxa"/>
            <w:tcBorders>
              <w:top w:val="single" w:sz="4" w:space="0" w:color="000000"/>
              <w:start w:val="single" w:sz="4" w:space="0" w:color="000000"/>
              <w:bottom w:val="single" w:sz="4" w:space="0" w:color="000000"/>
              <w:end w:val="single" w:sz="4" w:space="0" w:color="000000"/>
            </w:tcBorders>
          </w:tcPr>
          <w:p>
            <w:pPr>
              <w:pStyle w:val="212"/>
              <w:ind w:start="720" w:end="0"/>
              <w:jc w:val="end"/>
              <w:rPr>
                <w:b/>
                <w:sz w:val="20"/>
                <w:lang w:val="ru-RU"/>
              </w:rPr>
            </w:pPr>
            <w:r>
              <w:rPr>
                <w:b/>
                <w:sz w:val="20"/>
                <w:lang w:val="ru-RU"/>
              </w:rPr>
              <w:t>1311052</w:t>
            </w:r>
          </w:p>
        </w:tc>
        <w:tc>
          <w:tcPr>
            <w:tcW w:w="1984" w:type="dxa"/>
            <w:tcBorders>
              <w:top w:val="single" w:sz="4" w:space="0" w:color="000000"/>
              <w:start w:val="single" w:sz="4" w:space="0" w:color="000000"/>
              <w:bottom w:val="single" w:sz="4" w:space="0" w:color="000000"/>
              <w:end w:val="single" w:sz="4" w:space="0" w:color="000000"/>
            </w:tcBorders>
          </w:tcPr>
          <w:p>
            <w:pPr>
              <w:pStyle w:val="212"/>
              <w:ind w:start="720" w:end="0"/>
              <w:jc w:val="end"/>
              <w:rPr>
                <w:b/>
                <w:sz w:val="20"/>
                <w:lang w:val="ru-RU" w:eastAsia="ru-RU"/>
              </w:rPr>
            </w:pPr>
            <w:r>
              <w:rPr>
                <w:b/>
                <w:sz w:val="20"/>
                <w:lang w:val="ru-RU" w:eastAsia="ru-RU"/>
              </w:rPr>
              <w:t>891362</w:t>
            </w:r>
          </w:p>
        </w:tc>
      </w:tr>
    </w:tbl>
    <w:p>
      <w:pPr>
        <w:pStyle w:val="ABC-paragrahinNotes"/>
        <w:widowControl w:val="false"/>
        <w:spacing w:before="0" w:after="0"/>
        <w:ind w:firstLine="709" w:end="0"/>
        <w:rPr>
          <w:sz w:val="24"/>
          <w:szCs w:val="24"/>
        </w:rPr>
      </w:pPr>
      <w:r>
        <w:rPr>
          <w:sz w:val="24"/>
          <w:szCs w:val="24"/>
        </w:rPr>
      </w:r>
    </w:p>
    <w:p>
      <w:pPr>
        <w:pStyle w:val="ABC-paragrahinNotes"/>
        <w:widowControl w:val="false"/>
        <w:spacing w:before="0" w:after="0"/>
        <w:ind w:firstLine="709" w:end="0"/>
        <w:rPr>
          <w:sz w:val="24"/>
          <w:szCs w:val="24"/>
        </w:rPr>
      </w:pPr>
      <w:r>
        <w:rPr>
          <w:sz w:val="24"/>
          <w:szCs w:val="24"/>
        </w:rPr>
        <w:t>По  состоянию на 31.12.2025 года, в  составе  прочих  доходов ,   свернуто,  отражены курсовые  разницы,  в  сумме 478 тыс. руб.,  аналогичный  показатель на 31.12.2024 года  составляет 85 тыс. руб.</w:t>
      </w:r>
    </w:p>
    <w:p>
      <w:pPr>
        <w:pStyle w:val="ABC-paragrahinNotes"/>
        <w:widowControl w:val="false"/>
        <w:spacing w:before="0" w:after="0"/>
        <w:ind w:firstLine="709" w:end="0"/>
        <w:rPr>
          <w:sz w:val="24"/>
          <w:szCs w:val="24"/>
        </w:rPr>
      </w:pPr>
      <w:r>
        <w:rPr>
          <w:sz w:val="24"/>
          <w:szCs w:val="24"/>
        </w:rPr>
        <w:t>В состав коммерческих расходов включены, в том числе, вознаграждения покупателям кондитерской продукции.   В 2025 г. объем расходов на выплату вознаграждений покупателям составил 3 103 тыс. руб., в 2024 г – 4 976 тыс. руб.</w:t>
      </w:r>
    </w:p>
    <w:p>
      <w:pPr>
        <w:pStyle w:val="ABC-paragrahinNotes"/>
        <w:widowControl w:val="false"/>
        <w:spacing w:before="0" w:after="0"/>
        <w:ind w:firstLine="709" w:end="0"/>
        <w:rPr>
          <w:sz w:val="24"/>
          <w:szCs w:val="24"/>
        </w:rPr>
      </w:pPr>
      <w:r>
        <w:rPr>
          <w:sz w:val="24"/>
          <w:szCs w:val="24"/>
        </w:rPr>
      </w:r>
    </w:p>
    <w:p>
      <w:pPr>
        <w:pStyle w:val="Heading1"/>
        <w:numPr>
          <w:ilvl w:val="3"/>
          <w:numId w:val="1"/>
        </w:numPr>
        <w:ind w:hanging="0" w:start="0"/>
        <w:jc w:val="center"/>
        <w:rPr>
          <w:rFonts w:ascii="Times New Roman" w:hAnsi="Times New Roman" w:cs="Times New Roman"/>
        </w:rPr>
      </w:pPr>
      <w:r>
        <w:rPr>
          <w:rFonts w:cs="Times New Roman" w:ascii="Times New Roman" w:hAnsi="Times New Roman"/>
          <w:color w:val="000000"/>
          <w:sz w:val="24"/>
          <w:szCs w:val="24"/>
          <w:lang w:val="ru-RU"/>
        </w:rPr>
        <w:t xml:space="preserve">13. Информация об отдельных показателях отчета о движении денежных средств </w:t>
      </w:r>
      <w:r>
        <w:rPr>
          <w:rFonts w:cs="Times New Roman" w:ascii="Times New Roman" w:hAnsi="Times New Roman"/>
          <w:color w:val="000000"/>
          <w:sz w:val="20"/>
          <w:szCs w:val="20"/>
          <w:lang w:val="ru-RU"/>
        </w:rPr>
        <w:t xml:space="preserve"> </w:t>
      </w:r>
    </w:p>
    <w:p>
      <w:pPr>
        <w:pStyle w:val="Heading1"/>
        <w:numPr>
          <w:ilvl w:val="3"/>
          <w:numId w:val="1"/>
        </w:numPr>
        <w:ind w:hanging="0" w:start="0"/>
        <w:jc w:val="center"/>
        <w:rPr>
          <w:rFonts w:ascii="Times New Roman" w:hAnsi="Times New Roman" w:cs="Times New Roman"/>
        </w:rPr>
      </w:pPr>
      <w:r>
        <w:rPr>
          <w:rFonts w:cs="Times New Roman" w:ascii="Times New Roman" w:hAnsi="Times New Roman"/>
        </w:rPr>
      </w:r>
    </w:p>
    <w:p>
      <w:pPr>
        <w:pStyle w:val="Heading1"/>
        <w:numPr>
          <w:ilvl w:val="3"/>
          <w:numId w:val="1"/>
        </w:numPr>
        <w:ind w:hanging="0" w:start="0"/>
        <w:jc w:val="center"/>
        <w:rPr/>
      </w:pPr>
      <w:r>
        <w:rPr>
          <w:rFonts w:cs="Times New Roman" w:ascii="Times New Roman" w:hAnsi="Times New Roman"/>
          <w:color w:val="000000"/>
          <w:sz w:val="20"/>
          <w:szCs w:val="20"/>
          <w:lang w:val="ru-RU"/>
        </w:rPr>
        <w:t xml:space="preserve">                                                                                         </w:t>
      </w:r>
      <w:r>
        <w:rPr>
          <w:rFonts w:cs="Times New Roman" w:ascii="Times New Roman" w:hAnsi="Times New Roman"/>
          <w:color w:val="000000"/>
          <w:sz w:val="20"/>
          <w:szCs w:val="20"/>
          <w:lang w:val="ru-RU"/>
        </w:rPr>
        <w:tab/>
        <w:tab/>
        <w:tab/>
        <w:t xml:space="preserve">     в тыс. руб.   </w:t>
      </w:r>
    </w:p>
    <w:tbl>
      <w:tblPr>
        <w:tblW w:w="9180" w:type="dxa"/>
        <w:jc w:val="start"/>
        <w:tblInd w:w="0" w:type="dxa"/>
        <w:tblLayout w:type="fixed"/>
        <w:tblCellMar>
          <w:top w:w="0" w:type="dxa"/>
          <w:start w:w="108" w:type="dxa"/>
          <w:bottom w:w="0" w:type="dxa"/>
          <w:end w:w="108" w:type="dxa"/>
        </w:tblCellMar>
      </w:tblPr>
      <w:tblGrid>
        <w:gridCol w:w="4219"/>
        <w:gridCol w:w="1134"/>
        <w:gridCol w:w="1985"/>
        <w:gridCol w:w="1842"/>
      </w:tblGrid>
      <w:tr>
        <w:trPr>
          <w:trHeight w:val="315"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jc w:val="center"/>
              <w:rPr>
                <w:b/>
              </w:rPr>
            </w:pPr>
            <w:r>
              <w:rPr>
                <w:b/>
              </w:rPr>
              <w:t>Показатели</w:t>
            </w:r>
          </w:p>
          <w:p>
            <w:pPr>
              <w:pStyle w:val="Normal"/>
              <w:rPr>
                <w:b/>
              </w:rPr>
            </w:pPr>
            <w:r>
              <w:rPr>
                <w:b/>
              </w:rPr>
            </w:r>
          </w:p>
        </w:tc>
        <w:tc>
          <w:tcPr>
            <w:tcW w:w="1134" w:type="dxa"/>
            <w:tcBorders>
              <w:top w:val="double" w:sz="4" w:space="0" w:color="000000"/>
              <w:start w:val="single" w:sz="6" w:space="0" w:color="000000"/>
              <w:bottom w:val="double" w:sz="4" w:space="0" w:color="000000"/>
              <w:end w:val="single" w:sz="6" w:space="0" w:color="000000"/>
            </w:tcBorders>
          </w:tcPr>
          <w:p>
            <w:pPr>
              <w:pStyle w:val="Normal"/>
              <w:jc w:val="center"/>
              <w:rPr>
                <w:b/>
                <w:caps/>
              </w:rPr>
            </w:pPr>
            <w:r>
              <w:rPr>
                <w:b/>
                <w:caps/>
              </w:rPr>
              <w:t>код строки ОДДС</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overflowPunct w:val="false"/>
              <w:autoSpaceDE w:val="false"/>
              <w:jc w:val="center"/>
              <w:rPr>
                <w:b/>
                <w:bCs/>
                <w:caps/>
              </w:rPr>
            </w:pPr>
            <w:r>
              <w:rPr>
                <w:b/>
                <w:bCs/>
                <w:caps/>
              </w:rPr>
              <w:t>2025 г.</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overflowPunct w:val="false"/>
              <w:autoSpaceDE w:val="false"/>
              <w:snapToGrid w:val="false"/>
              <w:jc w:val="center"/>
              <w:rPr>
                <w:rFonts w:eastAsia="Calibri"/>
                <w:b/>
                <w:bCs/>
                <w:caps/>
                <w:lang w:eastAsia="en-US"/>
              </w:rPr>
            </w:pPr>
            <w:r>
              <w:rPr>
                <w:rFonts w:eastAsia="Calibri"/>
                <w:b/>
                <w:bCs/>
                <w:caps/>
                <w:lang w:eastAsia="en-US"/>
              </w:rPr>
            </w:r>
          </w:p>
          <w:p>
            <w:pPr>
              <w:pStyle w:val="Normal"/>
              <w:overflowPunct w:val="false"/>
              <w:autoSpaceDE w:val="false"/>
              <w:jc w:val="center"/>
              <w:rPr>
                <w:b/>
                <w:bCs/>
                <w:caps/>
              </w:rPr>
            </w:pPr>
            <w:r>
              <w:rPr>
                <w:b/>
                <w:bCs/>
                <w:caps/>
              </w:rPr>
              <w:t>2024 г.</w:t>
            </w:r>
          </w:p>
          <w:p>
            <w:pPr>
              <w:pStyle w:val="Normal"/>
              <w:overflowPunct w:val="false"/>
              <w:autoSpaceDE w:val="false"/>
              <w:jc w:val="center"/>
              <w:rPr>
                <w:b/>
                <w:bCs/>
                <w:caps/>
              </w:rPr>
            </w:pPr>
            <w:r>
              <w:rPr>
                <w:b/>
                <w:bCs/>
                <w:caps/>
              </w:rPr>
            </w:r>
          </w:p>
        </w:tc>
      </w:tr>
      <w:tr>
        <w:trPr>
          <w:trHeight w:val="265" w:hRule="atLeast"/>
        </w:trPr>
        <w:tc>
          <w:tcPr>
            <w:tcW w:w="5353" w:type="dxa"/>
            <w:gridSpan w:val="2"/>
            <w:tcBorders>
              <w:top w:val="double" w:sz="4" w:space="0" w:color="000000"/>
              <w:start w:val="single" w:sz="8" w:space="0" w:color="000000"/>
              <w:bottom w:val="double" w:sz="4" w:space="0" w:color="000000"/>
              <w:end w:val="single" w:sz="6" w:space="0" w:color="000000"/>
            </w:tcBorders>
          </w:tcPr>
          <w:p>
            <w:pPr>
              <w:pStyle w:val="Normal"/>
              <w:jc w:val="center"/>
              <w:rPr>
                <w:b/>
                <w:bCs/>
              </w:rPr>
            </w:pPr>
            <w:r>
              <w:rPr>
                <w:b/>
                <w:bCs/>
              </w:rPr>
              <w:t>Денежные потоки от текущих операций</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rFonts w:eastAsia="Calibri"/>
                <w:lang w:eastAsia="en-US"/>
              </w:rPr>
            </w:pPr>
            <w:r>
              <w:rPr>
                <w:rFonts w:eastAsia="Calibri"/>
                <w:lang w:eastAsia="en-US"/>
              </w:rPr>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tcPr>
          <w:p>
            <w:pPr>
              <w:pStyle w:val="Normal"/>
              <w:snapToGrid w:val="false"/>
              <w:jc w:val="center"/>
              <w:rPr>
                <w:rFonts w:eastAsia="Calibri"/>
                <w:lang w:eastAsia="en-US"/>
              </w:rPr>
            </w:pPr>
            <w:r>
              <w:rPr>
                <w:rFonts w:eastAsia="Calibri"/>
                <w:lang w:eastAsia="en-US"/>
              </w:rPr>
            </w:r>
          </w:p>
        </w:tc>
      </w:tr>
      <w:tr>
        <w:trPr>
          <w:trHeight w:val="217"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i/>
                <w:i/>
                <w:iCs/>
              </w:rPr>
            </w:pPr>
            <w:r>
              <w:rPr>
                <w:i/>
                <w:iCs/>
              </w:rPr>
              <w:t>Поступления - всего</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pPr>
            <w:r>
              <w:rPr/>
              <w:t>4110</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pPr>
            <w:r>
              <w:rPr/>
              <w:t>986804</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rFonts w:eastAsia="Calibri"/>
                <w:lang w:eastAsia="en-US"/>
              </w:rPr>
            </w:pPr>
            <w:r>
              <w:rPr>
                <w:rFonts w:eastAsia="Calibri"/>
                <w:lang w:eastAsia="en-US"/>
              </w:rPr>
              <w:t>780860</w:t>
            </w:r>
          </w:p>
        </w:tc>
      </w:tr>
      <w:tr>
        <w:trPr>
          <w:trHeight w:val="534"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pPr>
            <w:r>
              <w:rPr/>
              <w:t>в том числе:</w:t>
            </w:r>
          </w:p>
          <w:p>
            <w:pPr>
              <w:pStyle w:val="Normal"/>
              <w:rPr/>
            </w:pPr>
            <w:r>
              <w:rPr/>
              <w:t>от продажи продукции, товаров, работ, услуг</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pPr>
            <w:r>
              <w:rPr/>
              <w:t>4111</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pPr>
            <w:r>
              <w:rPr/>
              <w:t>985595</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pPr>
            <w:r>
              <w:rPr/>
              <w:t>777791</w:t>
            </w:r>
          </w:p>
        </w:tc>
      </w:tr>
      <w:tr>
        <w:trPr>
          <w:trHeight w:val="390"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i/>
                <w:i/>
                <w:iCs/>
              </w:rPr>
            </w:pPr>
            <w:r>
              <w:rPr>
                <w:i/>
                <w:iCs/>
              </w:rPr>
              <w:t xml:space="preserve">в том числе от основного покупателя </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i/>
                <w:i/>
                <w:iCs/>
              </w:rPr>
            </w:pPr>
            <w:r>
              <w:rPr>
                <w:i/>
                <w:iCs/>
              </w:rPr>
              <w:t>4111</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pPr>
            <w:r>
              <w:rPr/>
              <w:t>339800</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pPr>
            <w:r>
              <w:rPr/>
              <w:t>546065</w:t>
            </w:r>
          </w:p>
        </w:tc>
      </w:tr>
      <w:tr>
        <w:trPr>
          <w:trHeight w:val="435"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i/>
                <w:i/>
                <w:iCs/>
              </w:rPr>
            </w:pPr>
            <w:r>
              <w:rPr>
                <w:i/>
                <w:iCs/>
              </w:rPr>
              <w:t>Платежи - всего</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pPr>
            <w:r>
              <w:rPr/>
              <w:t>4120</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pPr>
            <w:r>
              <w:rPr/>
              <w:t>1099247</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pPr>
            <w:r>
              <w:rPr/>
              <w:t>913121</w:t>
            </w:r>
          </w:p>
        </w:tc>
      </w:tr>
      <w:tr>
        <w:trPr>
          <w:trHeight w:val="213"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pPr>
            <w:r>
              <w:rPr/>
              <w:t>в том числе: платежи поставщикам (подрядчикам) за сырье, материалы, работы, услуги</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pPr>
            <w:r>
              <w:rPr/>
              <w:t>4121</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pPr>
            <w:r>
              <w:rPr/>
              <w:t>735776</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rFonts w:eastAsia="Calibri"/>
                <w:lang w:eastAsia="en-US"/>
              </w:rPr>
            </w:pPr>
            <w:r>
              <w:rPr>
                <w:rFonts w:eastAsia="Calibri"/>
                <w:lang w:eastAsia="en-US"/>
              </w:rPr>
              <w:t>615993</w:t>
            </w:r>
          </w:p>
        </w:tc>
      </w:tr>
      <w:tr>
        <w:trPr>
          <w:trHeight w:val="435" w:hRule="atLeast"/>
        </w:trPr>
        <w:tc>
          <w:tcPr>
            <w:tcW w:w="4219" w:type="dxa"/>
            <w:tcBorders>
              <w:top w:val="double" w:sz="4" w:space="0" w:color="000000"/>
              <w:start w:val="single" w:sz="8" w:space="0" w:color="000000"/>
              <w:bottom w:val="double" w:sz="4" w:space="0" w:color="000000"/>
              <w:end w:val="single" w:sz="6" w:space="0" w:color="000000"/>
            </w:tcBorders>
          </w:tcPr>
          <w:p>
            <w:pPr>
              <w:pStyle w:val="Normal"/>
              <w:rPr>
                <w:i/>
                <w:i/>
                <w:iCs/>
              </w:rPr>
            </w:pPr>
            <w:r>
              <w:rPr>
                <w:i/>
                <w:iCs/>
              </w:rPr>
              <w:t xml:space="preserve">в том числе платежи основному поставщику </w:t>
            </w:r>
          </w:p>
        </w:tc>
        <w:tc>
          <w:tcPr>
            <w:tcW w:w="1134" w:type="dxa"/>
            <w:tcBorders>
              <w:top w:val="double" w:sz="4" w:space="0" w:color="000000"/>
              <w:start w:val="single" w:sz="6" w:space="0" w:color="000000"/>
              <w:bottom w:val="double" w:sz="4" w:space="0" w:color="000000"/>
              <w:end w:val="single" w:sz="6" w:space="0" w:color="000000"/>
            </w:tcBorders>
            <w:vAlign w:val="center"/>
          </w:tcPr>
          <w:p>
            <w:pPr>
              <w:pStyle w:val="Normal"/>
              <w:jc w:val="center"/>
              <w:rPr>
                <w:i/>
                <w:i/>
                <w:iCs/>
              </w:rPr>
            </w:pPr>
            <w:r>
              <w:rPr>
                <w:i/>
                <w:iCs/>
              </w:rPr>
              <w:t>4121</w:t>
            </w:r>
          </w:p>
        </w:tc>
        <w:tc>
          <w:tcPr>
            <w:tcW w:w="1985" w:type="dxa"/>
            <w:tcBorders>
              <w:top w:val="double" w:sz="4" w:space="0" w:color="000000"/>
              <w:start w:val="single" w:sz="6" w:space="0" w:color="000000"/>
              <w:bottom w:val="double" w:sz="4" w:space="0" w:color="000000"/>
              <w:end w:val="single" w:sz="6" w:space="0" w:color="000000"/>
            </w:tcBorders>
            <w:vAlign w:val="center"/>
          </w:tcPr>
          <w:p>
            <w:pPr>
              <w:pStyle w:val="Normal"/>
              <w:snapToGrid w:val="false"/>
              <w:jc w:val="center"/>
              <w:rPr>
                <w:rFonts w:eastAsia="Calibri"/>
                <w:i/>
                <w:i/>
                <w:iCs/>
                <w:lang w:eastAsia="en-US"/>
              </w:rPr>
            </w:pPr>
            <w:r>
              <w:rPr>
                <w:rFonts w:eastAsia="Calibri"/>
                <w:i/>
                <w:iCs/>
                <w:lang w:eastAsia="en-US"/>
              </w:rPr>
              <w:t>126253</w:t>
            </w:r>
          </w:p>
        </w:tc>
        <w:tc>
          <w:tcPr>
            <w:tcW w:w="1842" w:type="dxa"/>
            <w:tcBorders>
              <w:top w:val="double" w:sz="4" w:space="0" w:color="000000"/>
              <w:start w:val="single" w:sz="6" w:space="0" w:color="000000"/>
              <w:bottom w:val="double" w:sz="4" w:space="0" w:color="000000"/>
              <w:end w:val="single" w:sz="8" w:space="0" w:color="000000"/>
            </w:tcBorders>
            <w:tcMar>
              <w:start w:w="0" w:type="dxa"/>
              <w:end w:w="0" w:type="dxa"/>
            </w:tcMar>
            <w:vAlign w:val="center"/>
          </w:tcPr>
          <w:p>
            <w:pPr>
              <w:pStyle w:val="Normal"/>
              <w:snapToGrid w:val="false"/>
              <w:jc w:val="center"/>
              <w:rPr>
                <w:rFonts w:eastAsia="Calibri"/>
                <w:i/>
                <w:i/>
                <w:iCs/>
                <w:lang w:eastAsia="en-US"/>
              </w:rPr>
            </w:pPr>
            <w:r>
              <w:rPr>
                <w:rFonts w:eastAsia="Calibri"/>
                <w:i/>
                <w:iCs/>
                <w:lang w:eastAsia="en-US"/>
              </w:rPr>
              <w:t>114354</w:t>
            </w:r>
          </w:p>
        </w:tc>
      </w:tr>
    </w:tbl>
    <w:p>
      <w:pPr>
        <w:pStyle w:val="Normal"/>
        <w:autoSpaceDE w:val="false"/>
        <w:ind w:firstLine="709" w:end="0"/>
        <w:jc w:val="both"/>
        <w:rPr/>
      </w:pPr>
      <w:r>
        <w:rPr/>
      </w:r>
    </w:p>
    <w:p>
      <w:pPr>
        <w:pStyle w:val="Normal"/>
        <w:autoSpaceDE w:val="false"/>
        <w:ind w:firstLine="709" w:end="0"/>
        <w:jc w:val="both"/>
        <w:rPr>
          <w:sz w:val="24"/>
          <w:szCs w:val="24"/>
        </w:rPr>
      </w:pPr>
      <w:r>
        <w:rPr>
          <w:sz w:val="24"/>
          <w:szCs w:val="24"/>
        </w:rPr>
        <w:t>Официальный курс иностранной валюты к рублю, установленный Центральным банком Российской Федерации:</w:t>
      </w:r>
    </w:p>
    <w:p>
      <w:pPr>
        <w:pStyle w:val="Style27"/>
        <w:autoSpaceDE w:val="false"/>
        <w:ind w:start="360" w:end="0"/>
        <w:rPr/>
      </w:pPr>
      <w:r>
        <w:rPr>
          <w:sz w:val="24"/>
          <w:szCs w:val="24"/>
        </w:rPr>
        <w:t xml:space="preserve">    </w:t>
      </w:r>
      <w:r>
        <w:rPr>
          <w:sz w:val="24"/>
          <w:szCs w:val="24"/>
        </w:rPr>
        <w:t xml:space="preserve">на 31.12.2025 </w:t>
      </w:r>
      <w:r>
        <w:rPr>
          <w:sz w:val="24"/>
          <w:szCs w:val="24"/>
          <w:lang w:val="en-US"/>
        </w:rPr>
        <w:t>USD</w:t>
      </w:r>
      <w:r>
        <w:rPr>
          <w:sz w:val="24"/>
          <w:szCs w:val="24"/>
        </w:rPr>
        <w:t>–</w:t>
      </w:r>
      <w:r>
        <w:rPr/>
        <w:t xml:space="preserve"> </w:t>
      </w:r>
      <w:r>
        <w:rPr>
          <w:sz w:val="24"/>
          <w:szCs w:val="24"/>
        </w:rPr>
        <w:t xml:space="preserve">78,2267 руб., </w:t>
      </w:r>
      <w:r>
        <w:rPr>
          <w:sz w:val="24"/>
          <w:szCs w:val="24"/>
          <w:lang w:val="en-US"/>
        </w:rPr>
        <w:t>EUR</w:t>
      </w:r>
      <w:r>
        <w:rPr>
          <w:sz w:val="24"/>
          <w:szCs w:val="24"/>
        </w:rPr>
        <w:t xml:space="preserve">– 92,0938 руб., </w:t>
      </w:r>
      <w:r>
        <w:rPr>
          <w:sz w:val="24"/>
          <w:szCs w:val="24"/>
          <w:lang w:val="en-US"/>
        </w:rPr>
        <w:t>GBR</w:t>
      </w:r>
      <w:r>
        <w:rPr>
          <w:sz w:val="24"/>
          <w:szCs w:val="24"/>
        </w:rPr>
        <w:t>– 105,606 руб.;</w:t>
      </w:r>
    </w:p>
    <w:p>
      <w:pPr>
        <w:pStyle w:val="Normal"/>
        <w:autoSpaceDE w:val="false"/>
        <w:ind w:firstLine="709" w:end="0"/>
        <w:jc w:val="both"/>
        <w:rPr/>
      </w:pPr>
      <w:r>
        <w:rPr>
          <w:sz w:val="24"/>
          <w:szCs w:val="24"/>
        </w:rPr>
        <w:t xml:space="preserve">на 31.12.2024 </w:t>
      </w:r>
      <w:r>
        <w:rPr>
          <w:sz w:val="24"/>
          <w:szCs w:val="24"/>
          <w:lang w:val="en-US"/>
        </w:rPr>
        <w:t>USD</w:t>
      </w:r>
      <w:r>
        <w:rPr>
          <w:sz w:val="24"/>
          <w:szCs w:val="24"/>
        </w:rPr>
        <w:t>–</w:t>
      </w:r>
      <w:r>
        <w:rPr/>
        <w:t xml:space="preserve"> </w:t>
      </w:r>
      <w:r>
        <w:rPr>
          <w:sz w:val="24"/>
          <w:szCs w:val="24"/>
        </w:rPr>
        <w:t xml:space="preserve">101,6797 руб., </w:t>
      </w:r>
      <w:r>
        <w:rPr>
          <w:sz w:val="24"/>
          <w:szCs w:val="24"/>
          <w:lang w:val="en-US"/>
        </w:rPr>
        <w:t>EUR</w:t>
      </w:r>
      <w:r>
        <w:rPr>
          <w:sz w:val="24"/>
          <w:szCs w:val="24"/>
        </w:rPr>
        <w:t xml:space="preserve">– 106,1028 руб., </w:t>
      </w:r>
      <w:r>
        <w:rPr>
          <w:sz w:val="24"/>
          <w:szCs w:val="24"/>
          <w:lang w:val="en-US"/>
        </w:rPr>
        <w:t>GBR</w:t>
      </w:r>
      <w:r>
        <w:rPr>
          <w:sz w:val="24"/>
          <w:szCs w:val="24"/>
        </w:rPr>
        <w:t>– 127,4952 руб.</w:t>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Heading1"/>
        <w:ind w:hanging="0" w:start="0"/>
        <w:jc w:val="center"/>
        <w:rPr>
          <w:rFonts w:ascii="Times New Roman" w:hAnsi="Times New Roman" w:cs="Times New Roman"/>
          <w:sz w:val="24"/>
          <w:szCs w:val="24"/>
          <w:highlight w:val="cyan"/>
          <w:lang w:val="ru-RU"/>
        </w:rPr>
      </w:pPr>
      <w:r>
        <w:rPr>
          <w:rFonts w:cs="Times New Roman" w:ascii="Times New Roman" w:hAnsi="Times New Roman"/>
          <w:sz w:val="24"/>
          <w:szCs w:val="24"/>
          <w:highlight w:val="cyan"/>
          <w:lang w:val="ru-RU"/>
        </w:rPr>
      </w:r>
    </w:p>
    <w:p>
      <w:pPr>
        <w:pStyle w:val="Heading1"/>
        <w:ind w:hanging="0" w:start="0"/>
        <w:jc w:val="center"/>
        <w:rPr>
          <w:rFonts w:cs="Times New Roman"/>
          <w:sz w:val="24"/>
          <w:szCs w:val="24"/>
          <w:highlight w:val="cyan"/>
        </w:rPr>
      </w:pPr>
      <w:r>
        <w:rPr>
          <w:rFonts w:cs="Times New Roman" w:ascii="Times New Roman" w:hAnsi="Times New Roman"/>
          <w:sz w:val="24"/>
          <w:szCs w:val="24"/>
          <w:highlight w:val="cyan"/>
          <w:lang w:val="ru-RU"/>
        </w:rPr>
      </w:r>
    </w:p>
    <w:p>
      <w:pPr>
        <w:pStyle w:val="Heading1"/>
        <w:ind w:hanging="0" w:start="0"/>
        <w:jc w:val="center"/>
        <w:rPr>
          <w:rFonts w:cs="Times New Roman"/>
          <w:sz w:val="24"/>
          <w:szCs w:val="24"/>
        </w:rPr>
      </w:pPr>
      <w:r>
        <w:rPr>
          <w:rFonts w:cs="Times New Roman" w:ascii="Times New Roman" w:hAnsi="Times New Roman"/>
          <w:sz w:val="24"/>
          <w:szCs w:val="24"/>
          <w:lang w:val="ru-RU"/>
        </w:rPr>
        <w:t>14</w:t>
      </w:r>
      <w:r>
        <w:rPr>
          <w:rFonts w:cs="Times New Roman" w:ascii="Times New Roman" w:hAnsi="Times New Roman"/>
          <w:sz w:val="24"/>
          <w:szCs w:val="24"/>
        </w:rPr>
        <w:t xml:space="preserve">. </w:t>
      </w:r>
      <w:r>
        <w:rPr>
          <w:rFonts w:cs="Times New Roman" w:ascii="Times New Roman" w:hAnsi="Times New Roman"/>
          <w:sz w:val="24"/>
          <w:szCs w:val="24"/>
          <w:lang w:val="ru-RU"/>
        </w:rPr>
        <w:t>Учет расчетов по</w:t>
      </w:r>
      <w:r>
        <w:rPr>
          <w:rFonts w:cs="Times New Roman" w:ascii="Times New Roman" w:hAnsi="Times New Roman"/>
          <w:sz w:val="24"/>
          <w:szCs w:val="24"/>
        </w:rPr>
        <w:t xml:space="preserve"> налог</w:t>
      </w:r>
      <w:r>
        <w:rPr>
          <w:rFonts w:cs="Times New Roman" w:ascii="Times New Roman" w:hAnsi="Times New Roman"/>
          <w:sz w:val="24"/>
          <w:szCs w:val="24"/>
          <w:lang w:val="ru-RU"/>
        </w:rPr>
        <w:t>у</w:t>
      </w:r>
      <w:r>
        <w:rPr>
          <w:rFonts w:cs="Times New Roman" w:ascii="Times New Roman" w:hAnsi="Times New Roman"/>
          <w:sz w:val="24"/>
          <w:szCs w:val="24"/>
        </w:rPr>
        <w:t xml:space="preserve"> на прибыль</w:t>
      </w:r>
    </w:p>
    <w:p>
      <w:pPr>
        <w:pStyle w:val="Normal"/>
        <w:autoSpaceDE w:val="false"/>
        <w:jc w:val="both"/>
        <w:rPr>
          <w:rFonts w:cs="Times New Roman"/>
          <w:b/>
          <w:sz w:val="24"/>
          <w:szCs w:val="24"/>
        </w:rPr>
      </w:pPr>
      <w:r>
        <w:rPr>
          <w:rFonts w:cs="Times New Roman"/>
          <w:b/>
          <w:sz w:val="24"/>
          <w:szCs w:val="24"/>
        </w:rPr>
      </w:r>
    </w:p>
    <w:p>
      <w:pPr>
        <w:pStyle w:val="Normal"/>
        <w:ind w:firstLine="709" w:end="0"/>
        <w:jc w:val="both"/>
        <w:rPr>
          <w:sz w:val="24"/>
          <w:szCs w:val="24"/>
        </w:rPr>
      </w:pPr>
      <w:r>
        <w:rPr>
          <w:sz w:val="24"/>
          <w:szCs w:val="24"/>
        </w:rPr>
        <w:t>С 2020 года Общество применяет ПБУ 18/02 «Учет расчетов по налогу на прибыль» в редакции Приказа Минфина России от 20.11.2018 № 236н. Временные разницы и отложенные налоги рассчитываются с применением балансового метода. Общество определяет величину текущего налога на прибыль на основе налоговой декларации по налогу на прибыль.</w:t>
      </w:r>
    </w:p>
    <w:p>
      <w:pPr>
        <w:pStyle w:val="Normal"/>
        <w:widowControl w:val="false"/>
        <w:autoSpaceDE w:val="false"/>
        <w:ind w:firstLine="720" w:end="0"/>
        <w:jc w:val="both"/>
        <w:rPr>
          <w:sz w:val="24"/>
          <w:szCs w:val="24"/>
        </w:rPr>
      </w:pPr>
      <w:r>
        <w:rPr>
          <w:sz w:val="24"/>
          <w:szCs w:val="24"/>
        </w:rPr>
        <w:t>Общество применяет ставку налога на прибыль организаций – 25%.</w:t>
      </w:r>
      <w:r>
        <w:rPr>
          <w:i/>
          <w:color w:val="FF0000"/>
          <w:sz w:val="24"/>
          <w:szCs w:val="24"/>
        </w:rPr>
        <w:t xml:space="preserve"> </w:t>
      </w:r>
    </w:p>
    <w:p>
      <w:pPr>
        <w:pStyle w:val="212"/>
        <w:ind w:firstLine="709" w:end="0"/>
        <w:jc w:val="both"/>
        <w:rPr>
          <w:sz w:val="24"/>
          <w:szCs w:val="24"/>
        </w:rPr>
      </w:pPr>
      <w:r>
        <w:rPr>
          <w:sz w:val="24"/>
          <w:szCs w:val="24"/>
        </w:rPr>
        <w:t>Общество уплачивает ежемесячные авансовые платежи по налогу на прибыль</w:t>
      </w:r>
      <w:r>
        <w:rPr>
          <w:sz w:val="24"/>
          <w:szCs w:val="24"/>
          <w:lang w:val="ru-RU"/>
        </w:rPr>
        <w:t>.</w:t>
      </w:r>
    </w:p>
    <w:p>
      <w:pPr>
        <w:pStyle w:val="Normal"/>
        <w:ind w:firstLine="708" w:end="0"/>
        <w:jc w:val="both"/>
        <w:rPr>
          <w:sz w:val="24"/>
          <w:szCs w:val="24"/>
        </w:rPr>
      </w:pPr>
      <w:r>
        <w:rPr>
          <w:color w:val="000000"/>
          <w:sz w:val="24"/>
          <w:szCs w:val="24"/>
        </w:rPr>
        <w:t xml:space="preserve">Для расчета временных разниц  Общество использует регистр расчета временных разниц по видам активов и обязательств, в котором сравниваются   стоимостные величины активов и обязательств в бухгалтерском и налоговом учете. </w:t>
      </w:r>
    </w:p>
    <w:p>
      <w:pPr>
        <w:pStyle w:val="Normal"/>
        <w:ind w:firstLine="708" w:end="0"/>
        <w:jc w:val="both"/>
        <w:rPr>
          <w:sz w:val="24"/>
          <w:szCs w:val="24"/>
        </w:rPr>
      </w:pPr>
      <w:r>
        <w:rPr>
          <w:sz w:val="24"/>
          <w:szCs w:val="24"/>
        </w:rPr>
        <w:t xml:space="preserve">Основная часть изменений ОНО и ОНА в отчетном периоде связана с разницами в учете прямых расходов, основных средств и оценочных обязательств в бухгалтерском и налоговом учете. </w:t>
      </w:r>
    </w:p>
    <w:p>
      <w:pPr>
        <w:pStyle w:val="Normal"/>
        <w:ind w:firstLine="708" w:end="0"/>
        <w:jc w:val="both"/>
        <w:rPr>
          <w:sz w:val="24"/>
          <w:szCs w:val="24"/>
        </w:rPr>
      </w:pPr>
      <w:r>
        <w:rPr>
          <w:sz w:val="24"/>
          <w:szCs w:val="24"/>
        </w:rPr>
        <w:t>Отложенные налоговые активы и отложенные налоговые обязательства отражаются в бухгалтерской отчетности свернуто.</w:t>
      </w:r>
    </w:p>
    <w:p>
      <w:pPr>
        <w:pStyle w:val="Normal"/>
        <w:ind w:firstLine="567" w:end="0"/>
        <w:jc w:val="both"/>
        <w:rPr/>
      </w:pPr>
      <w:r>
        <w:rPr>
          <w:sz w:val="24"/>
          <w:szCs w:val="24"/>
        </w:rPr>
        <w:t>В 2025 году признано ОНА в размере 6352 тыс. руб., погашено – 1532.тыс. руб.</w:t>
      </w:r>
    </w:p>
    <w:p>
      <w:pPr>
        <w:pStyle w:val="Normal"/>
        <w:ind w:firstLine="567" w:end="0"/>
        <w:jc w:val="both"/>
        <w:rPr>
          <w:i/>
          <w:i/>
          <w:color w:val="FF0000"/>
          <w:sz w:val="24"/>
          <w:szCs w:val="24"/>
        </w:rPr>
      </w:pPr>
      <w:r>
        <w:rPr>
          <w:sz w:val="24"/>
          <w:szCs w:val="24"/>
        </w:rPr>
        <w:t>На 31.12.2025 года ОНА составляет 9888 тыс. руб.</w:t>
      </w:r>
    </w:p>
    <w:p>
      <w:pPr>
        <w:pStyle w:val="Normal"/>
        <w:ind w:firstLine="567" w:end="0"/>
        <w:jc w:val="both"/>
        <w:rPr/>
      </w:pPr>
      <w:r>
        <w:rPr>
          <w:sz w:val="24"/>
          <w:szCs w:val="24"/>
        </w:rPr>
        <w:t>В 2024 году признано ОНА в размере 4287 тыс. руб., погашено – 0.тыс. руб.</w:t>
      </w:r>
    </w:p>
    <w:p>
      <w:pPr>
        <w:pStyle w:val="Normal"/>
        <w:ind w:firstLine="567" w:end="0"/>
        <w:jc w:val="both"/>
        <w:rPr>
          <w:i/>
          <w:i/>
          <w:color w:val="FF0000"/>
          <w:sz w:val="24"/>
          <w:szCs w:val="24"/>
        </w:rPr>
      </w:pPr>
      <w:r>
        <w:rPr>
          <w:sz w:val="24"/>
          <w:szCs w:val="24"/>
        </w:rPr>
        <w:t>На 31.12.2024 года ОНА составляло  5068 тыс. руб.</w:t>
      </w:r>
    </w:p>
    <w:p>
      <w:pPr>
        <w:pStyle w:val="Normal"/>
        <w:ind w:firstLine="567" w:end="0"/>
        <w:jc w:val="both"/>
        <w:rPr>
          <w:i/>
          <w:i/>
          <w:color w:val="FF0000"/>
          <w:sz w:val="24"/>
          <w:szCs w:val="24"/>
        </w:rPr>
      </w:pPr>
      <w:r>
        <w:rPr>
          <w:i/>
          <w:color w:val="FF0000"/>
          <w:sz w:val="24"/>
          <w:szCs w:val="24"/>
        </w:rPr>
      </w:r>
    </w:p>
    <w:p>
      <w:pPr>
        <w:pStyle w:val="Normal"/>
        <w:numPr>
          <w:ilvl w:val="4"/>
          <w:numId w:val="1"/>
        </w:numPr>
        <w:ind w:firstLine="709" w:start="0" w:end="0"/>
        <w:jc w:val="both"/>
        <w:rPr>
          <w:sz w:val="24"/>
          <w:szCs w:val="24"/>
        </w:rPr>
      </w:pPr>
      <w:r>
        <w:rPr>
          <w:sz w:val="24"/>
          <w:szCs w:val="24"/>
        </w:rPr>
        <w:t xml:space="preserve">  </w:t>
      </w:r>
    </w:p>
    <w:p>
      <w:pPr>
        <w:pStyle w:val="Heading1"/>
        <w:ind w:hanging="0" w:start="0"/>
        <w:jc w:val="center"/>
        <w:rPr>
          <w:rFonts w:cs="Times New Roman"/>
          <w:sz w:val="24"/>
          <w:szCs w:val="24"/>
        </w:rPr>
      </w:pPr>
      <w:r>
        <w:rPr>
          <w:rFonts w:cs="Times New Roman"/>
          <w:sz w:val="24"/>
          <w:szCs w:val="24"/>
        </w:rPr>
      </w:r>
    </w:p>
    <w:p>
      <w:pPr>
        <w:pStyle w:val="Heading1"/>
        <w:ind w:hanging="0" w:start="0"/>
        <w:jc w:val="center"/>
        <w:rPr>
          <w:rFonts w:cs="Times New Roman"/>
          <w:sz w:val="24"/>
          <w:szCs w:val="24"/>
        </w:rPr>
      </w:pPr>
      <w:r>
        <w:rPr>
          <w:rFonts w:cs="Times New Roman" w:ascii="Times New Roman" w:hAnsi="Times New Roman"/>
          <w:sz w:val="24"/>
          <w:szCs w:val="24"/>
          <w:lang w:val="ru-RU"/>
        </w:rPr>
        <w:t>15</w:t>
      </w:r>
      <w:r>
        <w:rPr>
          <w:rFonts w:cs="Times New Roman" w:ascii="Times New Roman" w:hAnsi="Times New Roman"/>
          <w:sz w:val="24"/>
          <w:szCs w:val="24"/>
        </w:rPr>
        <w:t>. Информация о связанных сторонах</w:t>
      </w:r>
      <w:r>
        <w:rPr>
          <w:rFonts w:cs="Times New Roman" w:ascii="Times New Roman" w:hAnsi="Times New Roman"/>
          <w:sz w:val="24"/>
          <w:szCs w:val="24"/>
          <w:lang w:val="ru-RU"/>
        </w:rPr>
        <w:t>.</w:t>
      </w:r>
    </w:p>
    <w:p>
      <w:pPr>
        <w:pStyle w:val="212"/>
        <w:ind w:firstLine="708" w:end="0"/>
        <w:jc w:val="center"/>
        <w:rPr>
          <w:rFonts w:cs="Times New Roman"/>
          <w:b/>
          <w:sz w:val="24"/>
          <w:szCs w:val="24"/>
        </w:rPr>
      </w:pPr>
      <w:r>
        <w:rPr>
          <w:rFonts w:cs="Times New Roman"/>
          <w:b/>
          <w:sz w:val="24"/>
          <w:szCs w:val="24"/>
        </w:rPr>
      </w:r>
    </w:p>
    <w:p>
      <w:pPr>
        <w:pStyle w:val="Normal"/>
        <w:overflowPunct w:val="false"/>
        <w:autoSpaceDE w:val="false"/>
        <w:ind w:firstLine="709" w:end="0"/>
        <w:jc w:val="both"/>
        <w:textAlignment w:val="baseline"/>
        <w:rPr>
          <w:bCs/>
          <w:sz w:val="24"/>
          <w:szCs w:val="24"/>
        </w:rPr>
      </w:pPr>
      <w:r>
        <w:rPr>
          <w:sz w:val="24"/>
          <w:szCs w:val="24"/>
        </w:rPr>
        <w:t xml:space="preserve">Общество входит в состав Холдинга «Объединённые кондитеры», объединяющего предприятия по всей территории Российской Федерации, находящихся под управлением ООО «Объединённые кондитеры», в том числе ПАО «Красный Октябрь», АО «Кондитерский концерн «Бабаевский»,   АО «Кондитерская фабрика им. К. Самойловой», ЗАО "Пензенская кондитерская фабрика", ЗАО Шоколадная фабрика "Новосибирская", ОАО "Йошкар-Олинская кондитерская фабрика", ОАО "Воронежская кондитерская фабрика», ОАО "РОТ ФРОНТ", АО "Сормовская кондитерская фабрика", ОАО «Кондитерская фирма «ТАКФ», ОАО "Тульская кондитерская фабрика "Ясная Поляна", ОАО "Южуралкондитер",  АО «Фабрика «Русский шоколад», АО «Московский пищевой комбинат «Крекер», ЗАО Агрофирма «Рыльская»,  АО «Промсахар», АО «Сафоновомолоко», ЗАО «Троицкая кондитерская фабрика»,  АО «Кардымовский молочноконсервный комбинат», АО «ГутаАгро-Брянск», ЗАО «Кыштымская кондитерская фабрика», ООО «Объединенная кондитерская сеть», АО «ТрансКондитер»,   ООО «АСТАРС», АО «Лиманский орех», АО "СЭП". </w:t>
      </w:r>
    </w:p>
    <w:p>
      <w:pPr>
        <w:pStyle w:val="Normal"/>
        <w:autoSpaceDE w:val="false"/>
        <w:ind w:firstLine="709" w:end="0"/>
        <w:jc w:val="both"/>
        <w:rPr>
          <w:bCs/>
          <w:color w:val="1F497D"/>
          <w:sz w:val="24"/>
          <w:szCs w:val="24"/>
          <w:highlight w:val="cyan"/>
        </w:rPr>
      </w:pPr>
      <w:r>
        <w:rPr>
          <w:bCs/>
          <w:sz w:val="24"/>
          <w:szCs w:val="24"/>
        </w:rPr>
        <w:t>Руководство Обществом согласно договору о передаче полномочий</w:t>
      </w:r>
      <w:r>
        <w:rPr>
          <w:sz w:val="24"/>
          <w:szCs w:val="24"/>
        </w:rPr>
        <w:t xml:space="preserve"> </w:t>
      </w:r>
      <w:r>
        <w:rPr>
          <w:bCs/>
          <w:sz w:val="24"/>
          <w:szCs w:val="24"/>
        </w:rPr>
        <w:t>единоличного исполнительного органа № 004-юд от 01.09.2003г. осуществляет Управляющая Компания ООО «Объединённые Кондитеры».</w:t>
      </w:r>
    </w:p>
    <w:p>
      <w:pPr>
        <w:pStyle w:val="Normal"/>
        <w:ind w:firstLine="708" w:end="0"/>
        <w:jc w:val="both"/>
        <w:rPr>
          <w:sz w:val="24"/>
          <w:szCs w:val="24"/>
        </w:rPr>
      </w:pPr>
      <w:r>
        <w:rPr>
          <w:sz w:val="24"/>
          <w:szCs w:val="24"/>
        </w:rPr>
        <w:t>Список контролирующих юридических лиц, а также физических лиц - членов Совета директоров Общества представлен в таблице.</w:t>
      </w:r>
    </w:p>
    <w:p>
      <w:pPr>
        <w:pStyle w:val="Normal"/>
        <w:jc w:val="both"/>
        <w:rPr>
          <w:sz w:val="24"/>
          <w:szCs w:val="24"/>
        </w:rPr>
      </w:pPr>
      <w:r>
        <w:rPr>
          <w:sz w:val="24"/>
          <w:szCs w:val="24"/>
        </w:rPr>
      </w:r>
    </w:p>
    <w:tbl>
      <w:tblPr>
        <w:tblW w:w="8959" w:type="dxa"/>
        <w:jc w:val="start"/>
        <w:tblInd w:w="0" w:type="dxa"/>
        <w:tblLayout w:type="fixed"/>
        <w:tblCellMar>
          <w:top w:w="0" w:type="dxa"/>
          <w:start w:w="28" w:type="dxa"/>
          <w:bottom w:w="0" w:type="dxa"/>
          <w:end w:w="28" w:type="dxa"/>
        </w:tblCellMar>
      </w:tblPr>
      <w:tblGrid>
        <w:gridCol w:w="425"/>
        <w:gridCol w:w="4848"/>
        <w:gridCol w:w="3686"/>
      </w:tblGrid>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b/>
              </w:rPr>
            </w:pPr>
            <w:r>
              <w:rPr>
                <w:b/>
              </w:rPr>
              <w:t xml:space="preserve">№ </w:t>
            </w:r>
            <w:r>
              <w:rPr>
                <w:b/>
              </w:rPr>
              <w:t>п/п</w:t>
            </w:r>
          </w:p>
        </w:tc>
        <w:tc>
          <w:tcPr>
            <w:tcW w:w="4848" w:type="dxa"/>
            <w:tcBorders>
              <w:top w:val="single" w:sz="8" w:space="0" w:color="000000"/>
              <w:bottom w:val="single" w:sz="8" w:space="0" w:color="000000"/>
              <w:end w:val="single" w:sz="8" w:space="0" w:color="000000"/>
            </w:tcBorders>
          </w:tcPr>
          <w:p>
            <w:pPr>
              <w:pStyle w:val="Normal"/>
              <w:jc w:val="center"/>
              <w:rPr>
                <w:b/>
              </w:rPr>
            </w:pPr>
            <w:r>
              <w:rPr>
                <w:b/>
              </w:rPr>
              <w:t>Полное фирменное наименование юрлица или фамилия, имя, отчество физлица</w:t>
            </w:r>
          </w:p>
        </w:tc>
        <w:tc>
          <w:tcPr>
            <w:tcW w:w="3686" w:type="dxa"/>
            <w:tcBorders>
              <w:top w:val="single" w:sz="8" w:space="0" w:color="000000"/>
              <w:bottom w:val="single" w:sz="8" w:space="0" w:color="000000"/>
              <w:end w:val="single" w:sz="8" w:space="0" w:color="000000"/>
            </w:tcBorders>
          </w:tcPr>
          <w:p>
            <w:pPr>
              <w:pStyle w:val="Normal"/>
              <w:jc w:val="center"/>
              <w:rPr>
                <w:b/>
              </w:rPr>
            </w:pPr>
            <w:r>
              <w:rPr>
                <w:b/>
              </w:rPr>
              <w:t xml:space="preserve">Основание </w:t>
            </w:r>
          </w:p>
        </w:tc>
      </w:tr>
      <w:tr>
        <w:trPr>
          <w:cantSplit w:val="true"/>
        </w:trPr>
        <w:tc>
          <w:tcPr>
            <w:tcW w:w="425"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t>1</w:t>
            </w:r>
          </w:p>
        </w:tc>
        <w:tc>
          <w:tcPr>
            <w:tcW w:w="4848"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t>2</w:t>
            </w:r>
          </w:p>
        </w:tc>
        <w:tc>
          <w:tcPr>
            <w:tcW w:w="3686"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t>3</w:t>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lang w:val="en-US"/>
              </w:rPr>
            </w:pPr>
            <w:r>
              <w:rPr>
                <w:lang w:val="en-US"/>
              </w:rPr>
              <w:t>1</w:t>
            </w:r>
          </w:p>
        </w:tc>
        <w:tc>
          <w:tcPr>
            <w:tcW w:w="4848" w:type="dxa"/>
            <w:tcBorders>
              <w:top w:val="single" w:sz="4" w:space="0" w:color="000000"/>
              <w:start w:val="single" w:sz="4" w:space="0" w:color="000000"/>
              <w:bottom w:val="single" w:sz="4" w:space="0" w:color="000000"/>
              <w:end w:val="single" w:sz="4" w:space="0" w:color="000000"/>
            </w:tcBorders>
          </w:tcPr>
          <w:p>
            <w:pPr>
              <w:pStyle w:val="Normal"/>
              <w:jc w:val="both"/>
              <w:rPr>
                <w:lang w:val="ru-RU" w:eastAsia="ru-RU"/>
              </w:rPr>
            </w:pPr>
            <w:r>
              <w:rPr>
                <w:lang w:val="ru-RU" w:eastAsia="ru-RU"/>
              </w:rPr>
              <w:t>Андрюшкин Дмитрий Александрович</w:t>
            </w:r>
          </w:p>
        </w:tc>
        <w:tc>
          <w:tcPr>
            <w:tcW w:w="3686" w:type="dxa"/>
            <w:tcBorders>
              <w:top w:val="single" w:sz="4" w:space="0" w:color="000000"/>
              <w:start w:val="single" w:sz="4" w:space="0" w:color="000000"/>
              <w:bottom w:val="single" w:sz="4" w:space="0" w:color="000000"/>
              <w:end w:val="single" w:sz="4" w:space="0" w:color="000000"/>
            </w:tcBorders>
          </w:tcPr>
          <w:p>
            <w:pPr>
              <w:pStyle w:val="Normal"/>
              <w:rPr/>
            </w:pPr>
            <w:r>
              <w:rPr/>
              <w:t>Член Совета директоров Общества</w:t>
            </w:r>
          </w:p>
          <w:p>
            <w:pPr>
              <w:pStyle w:val="Normal"/>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pPr>
            <w:r>
              <w:rPr/>
              <w:t>2</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Харин Алексей Анатольевич</w:t>
            </w:r>
          </w:p>
        </w:tc>
        <w:tc>
          <w:tcPr>
            <w:tcW w:w="3686" w:type="dxa"/>
            <w:tcBorders>
              <w:top w:val="single" w:sz="4" w:space="0" w:color="000000"/>
              <w:start w:val="single" w:sz="4" w:space="0" w:color="000000"/>
              <w:bottom w:val="single" w:sz="4" w:space="0" w:color="000000"/>
              <w:end w:val="single" w:sz="4" w:space="0" w:color="000000"/>
            </w:tcBorders>
          </w:tcPr>
          <w:p>
            <w:pPr>
              <w:pStyle w:val="Normal"/>
              <w:rPr/>
            </w:pPr>
            <w:r>
              <w:rPr/>
              <w:t>Член Совета директоров Общества</w:t>
            </w:r>
          </w:p>
          <w:p>
            <w:pPr>
              <w:pStyle w:val="Normal"/>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lang w:val="en-US"/>
              </w:rPr>
            </w:pPr>
            <w:r>
              <w:rPr>
                <w:lang w:val="en-US"/>
              </w:rPr>
              <w:t>3</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Петров Александр Юрьевич</w:t>
            </w:r>
          </w:p>
        </w:tc>
        <w:tc>
          <w:tcPr>
            <w:tcW w:w="3686" w:type="dxa"/>
            <w:tcBorders>
              <w:top w:val="single" w:sz="4" w:space="0" w:color="000000"/>
              <w:start w:val="single" w:sz="4" w:space="0" w:color="000000"/>
              <w:bottom w:val="single" w:sz="4" w:space="0" w:color="000000"/>
              <w:end w:val="single" w:sz="4" w:space="0" w:color="000000"/>
            </w:tcBorders>
          </w:tcPr>
          <w:p>
            <w:pPr>
              <w:pStyle w:val="Normal"/>
              <w:spacing w:lineRule="auto" w:line="276"/>
              <w:rPr/>
            </w:pPr>
            <w:r>
              <w:rPr/>
              <w:t>Член Совета директоров Общества</w:t>
            </w:r>
          </w:p>
          <w:p>
            <w:pPr>
              <w:pStyle w:val="Normal"/>
              <w:spacing w:lineRule="auto" w:line="276"/>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pPr>
            <w:r>
              <w:rPr/>
              <w:t>4</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Ирин Георгий Александрович</w:t>
            </w:r>
          </w:p>
        </w:tc>
        <w:tc>
          <w:tcPr>
            <w:tcW w:w="3686" w:type="dxa"/>
            <w:tcBorders>
              <w:top w:val="single" w:sz="4" w:space="0" w:color="000000"/>
              <w:start w:val="single" w:sz="4" w:space="0" w:color="000000"/>
              <w:bottom w:val="single" w:sz="4" w:space="0" w:color="000000"/>
              <w:end w:val="single" w:sz="4" w:space="0" w:color="000000"/>
            </w:tcBorders>
          </w:tcPr>
          <w:p>
            <w:pPr>
              <w:pStyle w:val="Normal"/>
              <w:rPr/>
            </w:pPr>
            <w:r>
              <w:rPr/>
              <w:t xml:space="preserve">Член Совета директоров Общества </w:t>
            </w:r>
          </w:p>
          <w:p>
            <w:pPr>
              <w:pStyle w:val="Normal"/>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pPr>
            <w:r>
              <w:rPr/>
              <w:t>5</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Петров Алексей Юрьевич</w:t>
            </w:r>
          </w:p>
        </w:tc>
        <w:tc>
          <w:tcPr>
            <w:tcW w:w="3686" w:type="dxa"/>
            <w:tcBorders>
              <w:top w:val="single" w:sz="4" w:space="0" w:color="000000"/>
              <w:start w:val="single" w:sz="4" w:space="0" w:color="000000"/>
              <w:bottom w:val="single" w:sz="4" w:space="0" w:color="000000"/>
              <w:end w:val="single" w:sz="4" w:space="0" w:color="000000"/>
            </w:tcBorders>
          </w:tcPr>
          <w:p>
            <w:pPr>
              <w:pStyle w:val="BodyText"/>
              <w:rPr/>
            </w:pPr>
            <w:r>
              <w:rPr/>
              <w:t>Член Совета директоров Общества</w:t>
            </w:r>
          </w:p>
          <w:p>
            <w:pPr>
              <w:pStyle w:val="BodyText"/>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lang w:val="en-US"/>
              </w:rPr>
            </w:pPr>
            <w:r>
              <w:rPr>
                <w:lang w:val="en-US"/>
              </w:rPr>
              <w:t>6</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Бутко Кирилл Викторович</w:t>
            </w:r>
          </w:p>
        </w:tc>
        <w:tc>
          <w:tcPr>
            <w:tcW w:w="3686" w:type="dxa"/>
            <w:tcBorders>
              <w:top w:val="single" w:sz="4" w:space="0" w:color="000000"/>
              <w:start w:val="single" w:sz="4" w:space="0" w:color="000000"/>
              <w:bottom w:val="single" w:sz="4" w:space="0" w:color="000000"/>
              <w:end w:val="single" w:sz="4" w:space="0" w:color="000000"/>
            </w:tcBorders>
          </w:tcPr>
          <w:p>
            <w:pPr>
              <w:pStyle w:val="Normal"/>
              <w:rPr/>
            </w:pPr>
            <w:r>
              <w:rPr/>
              <w:t>Член Совета директоров Общества</w:t>
            </w:r>
          </w:p>
          <w:p>
            <w:pPr>
              <w:pStyle w:val="Normal"/>
              <w:rPr/>
            </w:pPr>
            <w:r>
              <w:rPr/>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lang w:val="en-US"/>
              </w:rPr>
            </w:pPr>
            <w:r>
              <w:rPr>
                <w:lang w:val="en-US"/>
              </w:rPr>
              <w:t>7</w:t>
            </w:r>
          </w:p>
        </w:tc>
        <w:tc>
          <w:tcPr>
            <w:tcW w:w="4848" w:type="dxa"/>
            <w:tcBorders>
              <w:top w:val="single" w:sz="4" w:space="0" w:color="000000"/>
              <w:start w:val="single" w:sz="4" w:space="0" w:color="000000"/>
              <w:bottom w:val="single" w:sz="4" w:space="0" w:color="000000"/>
              <w:end w:val="single" w:sz="4" w:space="0" w:color="000000"/>
            </w:tcBorders>
          </w:tcPr>
          <w:p>
            <w:pPr>
              <w:pStyle w:val="Normal"/>
              <w:jc w:val="both"/>
              <w:rPr/>
            </w:pPr>
            <w:r>
              <w:rPr/>
              <w:t>Общество с ограниченной ответственностью «Объединенные кондитеры»</w:t>
            </w:r>
          </w:p>
        </w:tc>
        <w:tc>
          <w:tcPr>
            <w:tcW w:w="3686" w:type="dxa"/>
            <w:tcBorders>
              <w:top w:val="single" w:sz="4" w:space="0" w:color="000000"/>
              <w:start w:val="single" w:sz="4" w:space="0" w:color="000000"/>
              <w:bottom w:val="single" w:sz="4" w:space="0" w:color="000000"/>
              <w:end w:val="single" w:sz="4" w:space="0" w:color="000000"/>
            </w:tcBorders>
          </w:tcPr>
          <w:p>
            <w:pPr>
              <w:pStyle w:val="Normal"/>
              <w:rPr/>
            </w:pPr>
            <w:r>
              <w:rPr/>
              <w:t>Единоличный исполнительный орган</w:t>
            </w:r>
          </w:p>
        </w:tc>
      </w:tr>
      <w:tr>
        <w:trPr>
          <w:trHeight w:val="284" w:hRule="atLeast"/>
          <w:cantSplit w:val="true"/>
        </w:trPr>
        <w:tc>
          <w:tcPr>
            <w:tcW w:w="425" w:type="dxa"/>
            <w:tcBorders>
              <w:top w:val="single" w:sz="4" w:space="0" w:color="000000"/>
              <w:start w:val="single" w:sz="4" w:space="0" w:color="000000"/>
              <w:bottom w:val="single" w:sz="4" w:space="0" w:color="000000"/>
              <w:end w:val="single" w:sz="4" w:space="0" w:color="000000"/>
            </w:tcBorders>
          </w:tcPr>
          <w:p>
            <w:pPr>
              <w:pStyle w:val="Normal"/>
              <w:jc w:val="center"/>
              <w:rPr>
                <w:lang w:val="en-US"/>
              </w:rPr>
            </w:pPr>
            <w:r>
              <w:rPr>
                <w:lang w:val="en-US"/>
              </w:rPr>
              <w:t>8</w:t>
            </w:r>
          </w:p>
        </w:tc>
        <w:tc>
          <w:tcPr>
            <w:tcW w:w="4848" w:type="dxa"/>
            <w:tcBorders>
              <w:top w:val="single" w:sz="4" w:space="0" w:color="000000"/>
              <w:start w:val="single" w:sz="4" w:space="0" w:color="000000"/>
              <w:bottom w:val="single" w:sz="4" w:space="0" w:color="000000"/>
              <w:end w:val="single" w:sz="4" w:space="0" w:color="000000"/>
            </w:tcBorders>
          </w:tcPr>
          <w:p>
            <w:pPr>
              <w:pStyle w:val="Normal"/>
              <w:rPr/>
            </w:pPr>
            <w:r>
              <w:rPr/>
              <w:t>Акционерное общество «Холдинговая компания «Объединенные кондитеры</w:t>
            </w:r>
          </w:p>
        </w:tc>
        <w:tc>
          <w:tcPr>
            <w:tcW w:w="3686" w:type="dxa"/>
            <w:tcBorders>
              <w:top w:val="single" w:sz="4" w:space="0" w:color="000000"/>
              <w:start w:val="single" w:sz="4" w:space="0" w:color="000000"/>
              <w:bottom w:val="single" w:sz="4" w:space="0" w:color="000000"/>
              <w:end w:val="single" w:sz="4" w:space="0" w:color="000000"/>
            </w:tcBorders>
          </w:tcPr>
          <w:p>
            <w:pPr>
              <w:pStyle w:val="Style26"/>
              <w:ind w:start="-79" w:end="-70"/>
              <w:rPr>
                <w:sz w:val="20"/>
                <w:szCs w:val="20"/>
              </w:rPr>
            </w:pPr>
            <w:r>
              <w:rPr>
                <w:sz w:val="20"/>
                <w:szCs w:val="20"/>
              </w:rPr>
              <w:t xml:space="preserve"> </w:t>
            </w:r>
            <w:r>
              <w:rPr>
                <w:sz w:val="20"/>
                <w:szCs w:val="20"/>
              </w:rPr>
              <w:t>Контролирующая компания</w:t>
            </w:r>
          </w:p>
        </w:tc>
      </w:tr>
    </w:tbl>
    <w:p>
      <w:pPr>
        <w:pStyle w:val="Heading1"/>
        <w:spacing w:lineRule="auto" w:line="228"/>
        <w:ind w:hanging="0" w:start="0"/>
        <w:jc w:val="start"/>
        <w:rPr>
          <w:sz w:val="24"/>
          <w:szCs w:val="24"/>
          <w:shd w:fill="FFFF00" w:val="clear"/>
          <w:lang w:eastAsia="en-US"/>
        </w:rPr>
      </w:pPr>
      <w:r>
        <w:rPr>
          <w:rFonts w:eastAsia="Cambria"/>
          <w:sz w:val="24"/>
          <w:szCs w:val="24"/>
          <w:lang w:val="ru-RU"/>
        </w:rPr>
        <w:t xml:space="preserve">                         </w:t>
      </w:r>
    </w:p>
    <w:p>
      <w:pPr>
        <w:pStyle w:val="Text33"/>
        <w:widowControl w:val="false"/>
        <w:spacing w:lineRule="auto" w:line="230" w:before="0" w:after="0"/>
        <w:ind w:firstLine="400" w:end="0"/>
        <w:rPr>
          <w:sz w:val="24"/>
          <w:szCs w:val="24"/>
          <w:lang w:eastAsia="en-US"/>
        </w:rPr>
      </w:pPr>
      <w:r>
        <w:rPr>
          <w:sz w:val="24"/>
          <w:szCs w:val="24"/>
        </w:rPr>
        <w:t>Общество имеет существенный объем операций с компаниями группы АО «Холдинговая компания «Объединенные кондитеры» и ее связанными сторонами, в том числе с контролирующей организацией.</w:t>
      </w:r>
    </w:p>
    <w:p>
      <w:pPr>
        <w:pStyle w:val="Normal"/>
        <w:ind w:firstLine="708" w:end="0"/>
        <w:jc w:val="both"/>
        <w:rPr>
          <w:caps/>
          <w:color w:val="000000"/>
          <w:sz w:val="24"/>
          <w:szCs w:val="24"/>
          <w:lang w:eastAsia="en-US"/>
        </w:rPr>
      </w:pPr>
      <w:r>
        <w:rPr>
          <w:sz w:val="24"/>
          <w:szCs w:val="24"/>
          <w:lang w:eastAsia="en-US"/>
        </w:rPr>
        <w:t>По дебиторской задолженности по операциям со связанными сторонами Общество не создавало резерв по сомнительным долгам. Отсутствовало списание дебиторской задолженности связанных сторон, по которой срок исковой давности истек, других долгов, нереальных для взыскания, в том числе за счет резерва по сомнительным долгам.</w:t>
      </w:r>
    </w:p>
    <w:p>
      <w:pPr>
        <w:pStyle w:val="Heading1"/>
        <w:numPr>
          <w:ilvl w:val="0"/>
          <w:numId w:val="0"/>
        </w:numPr>
        <w:ind w:hanging="0" w:start="0"/>
        <w:jc w:val="center"/>
        <w:rPr>
          <w:rFonts w:cs="Times New Roman"/>
          <w:caps/>
          <w:color w:val="000000"/>
          <w:sz w:val="24"/>
          <w:szCs w:val="24"/>
          <w:lang w:val="ru-RU" w:eastAsia="en-US"/>
        </w:rPr>
      </w:pPr>
      <w:r>
        <w:rPr>
          <w:rFonts w:cs="Times New Roman"/>
          <w:caps/>
          <w:color w:val="000000"/>
          <w:sz w:val="24"/>
          <w:szCs w:val="24"/>
          <w:lang w:val="ru-RU" w:eastAsia="en-US"/>
        </w:rPr>
      </w:r>
    </w:p>
    <w:p>
      <w:pPr>
        <w:pStyle w:val="Normal"/>
        <w:rPr>
          <w:rFonts w:cs="Times New Roman"/>
          <w:sz w:val="24"/>
          <w:szCs w:val="24"/>
          <w:lang w:val="ru-RU"/>
        </w:rPr>
      </w:pPr>
      <w:r>
        <w:rPr>
          <w:rFonts w:cs="Times New Roman"/>
          <w:sz w:val="24"/>
          <w:szCs w:val="24"/>
          <w:lang w:val="ru-RU"/>
        </w:rPr>
      </w:r>
    </w:p>
    <w:p>
      <w:pPr>
        <w:pStyle w:val="Heading1"/>
        <w:ind w:hanging="0" w:start="0"/>
        <w:jc w:val="center"/>
        <w:rPr>
          <w:rFonts w:cs="Times New Roman"/>
          <w:sz w:val="24"/>
          <w:szCs w:val="24"/>
        </w:rPr>
      </w:pPr>
      <w:r>
        <w:rPr>
          <w:rFonts w:cs="Times New Roman"/>
          <w:sz w:val="24"/>
          <w:szCs w:val="24"/>
        </w:rPr>
      </w:r>
    </w:p>
    <w:p>
      <w:pPr>
        <w:pStyle w:val="Heading1"/>
        <w:ind w:hanging="0" w:start="0"/>
        <w:jc w:val="center"/>
        <w:rPr>
          <w:rFonts w:cs="Times New Roman"/>
          <w:sz w:val="24"/>
          <w:szCs w:val="24"/>
        </w:rPr>
      </w:pPr>
      <w:r>
        <w:rPr>
          <w:rFonts w:cs="Times New Roman" w:ascii="Times New Roman" w:hAnsi="Times New Roman"/>
          <w:sz w:val="24"/>
          <w:szCs w:val="24"/>
          <w:lang w:val="ru-RU"/>
        </w:rPr>
        <w:t xml:space="preserve">15.1. </w:t>
      </w:r>
      <w:r>
        <w:rPr>
          <w:rFonts w:cs="Times New Roman" w:ascii="Times New Roman" w:hAnsi="Times New Roman"/>
          <w:sz w:val="24"/>
          <w:szCs w:val="24"/>
        </w:rPr>
        <w:t>Долгосрочные займы, выданные связанным сторонам</w:t>
      </w:r>
    </w:p>
    <w:p>
      <w:pPr>
        <w:pStyle w:val="212"/>
        <w:ind w:firstLine="708" w:end="0"/>
        <w:jc w:val="center"/>
        <w:rPr>
          <w:rFonts w:cs="Times New Roman"/>
          <w:b/>
          <w:sz w:val="24"/>
          <w:szCs w:val="24"/>
        </w:rPr>
      </w:pPr>
      <w:r>
        <w:rPr>
          <w:rFonts w:cs="Times New Roman"/>
          <w:b/>
          <w:sz w:val="24"/>
          <w:szCs w:val="24"/>
        </w:rPr>
      </w:r>
    </w:p>
    <w:p>
      <w:pPr>
        <w:pStyle w:val="Normal"/>
        <w:autoSpaceDE w:val="false"/>
        <w:ind w:firstLine="709" w:end="0"/>
        <w:jc w:val="both"/>
        <w:rPr/>
      </w:pPr>
      <w:r>
        <w:rPr>
          <w:sz w:val="24"/>
          <w:szCs w:val="24"/>
          <w:lang w:eastAsia="en-US"/>
        </w:rPr>
        <w:t>Ниже в таблице представлена информация о долгосрочных займах, с</w:t>
      </w:r>
      <w:r>
        <w:rPr>
          <w:bCs/>
          <w:sz w:val="24"/>
          <w:szCs w:val="24"/>
          <w:lang w:eastAsia="en-US"/>
        </w:rPr>
        <w:t>рок погашения которых в 2027 г. – 2030 г.</w:t>
      </w:r>
      <w:r>
        <w:rPr>
          <w:sz w:val="24"/>
          <w:szCs w:val="24"/>
          <w:lang w:eastAsia="en-US"/>
        </w:rPr>
        <w:t xml:space="preserve"> (тыс. руб.):</w:t>
      </w:r>
    </w:p>
    <w:p>
      <w:pPr>
        <w:pStyle w:val="Normal"/>
        <w:autoSpaceDE w:val="false"/>
        <w:ind w:firstLine="709" w:end="0"/>
        <w:jc w:val="both"/>
        <w:rPr>
          <w:sz w:val="24"/>
          <w:szCs w:val="24"/>
          <w:lang w:eastAsia="en-US"/>
        </w:rPr>
      </w:pPr>
      <w:r>
        <w:rPr>
          <w:sz w:val="24"/>
          <w:szCs w:val="24"/>
          <w:lang w:eastAsia="en-US"/>
        </w:rPr>
      </w:r>
    </w:p>
    <w:tbl>
      <w:tblPr>
        <w:tblW w:w="9120" w:type="dxa"/>
        <w:jc w:val="center"/>
        <w:tblInd w:w="0" w:type="dxa"/>
        <w:tblLayout w:type="fixed"/>
        <w:tblCellMar>
          <w:top w:w="0" w:type="dxa"/>
          <w:start w:w="108" w:type="dxa"/>
          <w:bottom w:w="0" w:type="dxa"/>
          <w:end w:w="108" w:type="dxa"/>
        </w:tblCellMar>
      </w:tblPr>
      <w:tblGrid>
        <w:gridCol w:w="5667"/>
        <w:gridCol w:w="1701"/>
        <w:gridCol w:w="1752"/>
      </w:tblGrid>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snapToGrid w:val="false"/>
              <w:spacing w:lineRule="auto" w:line="228"/>
              <w:ind w:hanging="142" w:start="34" w:end="-108"/>
              <w:jc w:val="center"/>
              <w:rPr>
                <w:b/>
                <w:sz w:val="20"/>
                <w:szCs w:val="20"/>
                <w:lang w:val="ru-RU" w:eastAsia="en-US"/>
              </w:rPr>
            </w:pPr>
            <w:r>
              <w:rPr>
                <w:b/>
                <w:sz w:val="20"/>
                <w:szCs w:val="20"/>
                <w:lang w:val="ru-RU" w:eastAsia="en-US"/>
              </w:rPr>
              <w:t>Период</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2025</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2024</w:t>
            </w:r>
          </w:p>
        </w:tc>
      </w:tr>
      <w:tr>
        <w:trPr>
          <w:trHeight w:val="339"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начало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255 877</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362 387</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Переквалификация из состава краткосрочных займов</w:t>
            </w:r>
          </w:p>
          <w:p>
            <w:pPr>
              <w:pStyle w:val="Tabletext"/>
              <w:widowControl w:val="false"/>
              <w:snapToGrid w:val="false"/>
              <w:spacing w:lineRule="auto" w:line="228"/>
              <w:ind w:hanging="142" w:start="34" w:end="-108"/>
              <w:rPr>
                <w:sz w:val="20"/>
                <w:szCs w:val="20"/>
                <w:lang w:val="ru-RU" w:eastAsia="en-US"/>
              </w:rPr>
            </w:pPr>
            <w:r>
              <w:rPr>
                <w:sz w:val="20"/>
                <w:szCs w:val="20"/>
                <w:lang w:val="ru-RU" w:eastAsia="en-US"/>
              </w:rPr>
            </w:r>
          </w:p>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Займы, выданные в течение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0</w:t>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30 150</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1 550</w:t>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88 53</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Займы, погашенные в течение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132 977</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178 530</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Переквалификация в состав краткосрочных займов</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149 000</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18 060</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конец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4 050</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255 877</w:t>
            </w:r>
          </w:p>
        </w:tc>
      </w:tr>
      <w:tr>
        <w:trPr>
          <w:trHeight w:val="23" w:hRule="atLeast"/>
        </w:trPr>
        <w:tc>
          <w:tcPr>
            <w:tcW w:w="5667" w:type="dxa"/>
            <w:tcBorders>
              <w:top w:val="single" w:sz="4" w:space="0" w:color="000000"/>
            </w:tcBorders>
            <w:vAlign w:val="bottom"/>
          </w:tcPr>
          <w:p>
            <w:pPr>
              <w:pStyle w:val="Tabletext"/>
              <w:widowControl w:val="false"/>
              <w:snapToGrid w:val="false"/>
              <w:spacing w:lineRule="auto" w:line="228"/>
              <w:ind w:hanging="142" w:start="34" w:end="-108"/>
              <w:rPr>
                <w:b/>
                <w:bCs/>
                <w:sz w:val="20"/>
                <w:szCs w:val="20"/>
                <w:lang w:val="ru-RU" w:eastAsia="en-US"/>
              </w:rPr>
            </w:pPr>
            <w:r>
              <w:rPr>
                <w:b/>
                <w:bCs/>
                <w:sz w:val="20"/>
                <w:szCs w:val="20"/>
                <w:lang w:val="ru-RU" w:eastAsia="en-US"/>
              </w:rPr>
            </w:r>
          </w:p>
        </w:tc>
        <w:tc>
          <w:tcPr>
            <w:tcW w:w="1701" w:type="dxa"/>
            <w:tcBorders>
              <w:top w:val="single" w:sz="4" w:space="0" w:color="000000"/>
            </w:tcBorders>
            <w:vAlign w:val="bottom"/>
          </w:tcPr>
          <w:p>
            <w:pPr>
              <w:pStyle w:val="Tabletext"/>
              <w:widowControl w:val="false"/>
              <w:snapToGrid w:val="false"/>
              <w:spacing w:lineRule="auto" w:line="228"/>
              <w:ind w:end="-108"/>
              <w:rPr>
                <w:b/>
                <w:bCs/>
                <w:sz w:val="20"/>
                <w:szCs w:val="20"/>
                <w:lang w:val="ru-RU" w:eastAsia="en-US"/>
              </w:rPr>
            </w:pPr>
            <w:r>
              <w:rPr>
                <w:b/>
                <w:bCs/>
                <w:sz w:val="20"/>
                <w:szCs w:val="20"/>
                <w:lang w:val="ru-RU" w:eastAsia="en-US"/>
              </w:rPr>
            </w:r>
          </w:p>
        </w:tc>
        <w:tc>
          <w:tcPr>
            <w:tcW w:w="1752" w:type="dxa"/>
            <w:tcBorders>
              <w:top w:val="single" w:sz="4" w:space="0" w:color="000000"/>
            </w:tcBorders>
            <w:vAlign w:val="bottom"/>
          </w:tcPr>
          <w:p>
            <w:pPr>
              <w:pStyle w:val="Text33"/>
              <w:snapToGrid w:val="false"/>
              <w:spacing w:before="0" w:after="120"/>
              <w:rPr>
                <w:b/>
                <w:bCs/>
                <w:sz w:val="20"/>
                <w:szCs w:val="20"/>
                <w:lang w:val="ru-RU" w:eastAsia="en-US"/>
              </w:rPr>
            </w:pPr>
            <w:r>
              <w:rPr>
                <w:b/>
                <w:bCs/>
                <w:sz w:val="20"/>
                <w:szCs w:val="20"/>
                <w:lang w:val="ru-RU" w:eastAsia="en-US"/>
              </w:rPr>
            </w:r>
          </w:p>
        </w:tc>
      </w:tr>
    </w:tbl>
    <w:p>
      <w:pPr>
        <w:pStyle w:val="Heading1"/>
        <w:ind w:hanging="0" w:start="0"/>
        <w:jc w:val="center"/>
        <w:rPr>
          <w:rFonts w:cs="Times New Roman"/>
          <w:sz w:val="24"/>
          <w:szCs w:val="24"/>
          <w:shd w:fill="FFE994" w:val="clear"/>
        </w:rPr>
      </w:pPr>
      <w:r>
        <w:rPr>
          <w:rFonts w:cs="Times New Roman" w:ascii="Times New Roman" w:hAnsi="Times New Roman"/>
          <w:sz w:val="24"/>
          <w:szCs w:val="24"/>
          <w:lang w:val="ru-RU"/>
        </w:rPr>
        <w:t>15.2. К</w:t>
      </w:r>
      <w:r>
        <w:rPr>
          <w:rFonts w:cs="Times New Roman" w:ascii="Times New Roman" w:hAnsi="Times New Roman"/>
          <w:sz w:val="24"/>
          <w:szCs w:val="24"/>
        </w:rPr>
        <w:t>раткосрочные займы, выданные связанным сторонам</w:t>
      </w:r>
    </w:p>
    <w:p>
      <w:pPr>
        <w:pStyle w:val="212"/>
        <w:ind w:firstLine="708" w:end="0"/>
        <w:jc w:val="center"/>
        <w:rPr>
          <w:rFonts w:cs="Times New Roman"/>
          <w:b/>
          <w:sz w:val="24"/>
          <w:szCs w:val="24"/>
          <w:shd w:fill="FFE994" w:val="clear"/>
        </w:rPr>
      </w:pPr>
      <w:r>
        <w:rPr>
          <w:rFonts w:cs="Times New Roman"/>
          <w:b/>
          <w:sz w:val="24"/>
          <w:szCs w:val="24"/>
          <w:shd w:fill="FFE994" w:val="clear"/>
        </w:rPr>
      </w:r>
    </w:p>
    <w:p>
      <w:pPr>
        <w:pStyle w:val="Normal"/>
        <w:autoSpaceDE w:val="false"/>
        <w:ind w:firstLine="709" w:end="0"/>
        <w:jc w:val="both"/>
        <w:rPr/>
      </w:pPr>
      <w:r>
        <w:rPr>
          <w:sz w:val="24"/>
          <w:szCs w:val="24"/>
          <w:lang w:eastAsia="en-US"/>
        </w:rPr>
        <w:t xml:space="preserve">Ниже в таблице представлена информация о долгосрочных займах. (тыс. </w:t>
      </w:r>
      <w:r>
        <w:rPr>
          <w:lang w:eastAsia="en-US"/>
        </w:rPr>
        <w:t xml:space="preserve">руб.) </w:t>
      </w:r>
    </w:p>
    <w:p>
      <w:pPr>
        <w:pStyle w:val="Normal"/>
        <w:autoSpaceDE w:val="false"/>
        <w:ind w:firstLine="709" w:end="0"/>
        <w:jc w:val="both"/>
        <w:rPr>
          <w:lang w:eastAsia="en-US"/>
        </w:rPr>
      </w:pPr>
      <w:r>
        <w:rPr>
          <w:lang w:eastAsia="en-US"/>
        </w:rPr>
      </w:r>
    </w:p>
    <w:tbl>
      <w:tblPr>
        <w:tblW w:w="9072" w:type="dxa"/>
        <w:jc w:val="center"/>
        <w:tblInd w:w="0" w:type="dxa"/>
        <w:tblLayout w:type="fixed"/>
        <w:tblCellMar>
          <w:top w:w="0" w:type="dxa"/>
          <w:start w:w="108" w:type="dxa"/>
          <w:bottom w:w="0" w:type="dxa"/>
          <w:end w:w="108" w:type="dxa"/>
        </w:tblCellMar>
      </w:tblPr>
      <w:tblGrid>
        <w:gridCol w:w="5667"/>
        <w:gridCol w:w="1701"/>
        <w:gridCol w:w="1704"/>
      </w:tblGrid>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snapToGrid w:val="false"/>
              <w:spacing w:lineRule="auto" w:line="228"/>
              <w:ind w:hanging="142" w:start="34" w:end="-108"/>
              <w:rPr>
                <w:b/>
                <w:sz w:val="20"/>
                <w:szCs w:val="20"/>
                <w:lang w:val="ru-RU" w:eastAsia="en-US"/>
              </w:rPr>
            </w:pPr>
            <w:r>
              <w:rPr>
                <w:b/>
                <w:sz w:val="20"/>
                <w:szCs w:val="20"/>
                <w:lang w:val="ru-RU" w:eastAsia="en-US"/>
              </w:rPr>
              <w:t>Период</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2025</w:t>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2024</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начало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18 060</w:t>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43 050</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Переквалификация из состава долгосрочных займов</w:t>
            </w:r>
          </w:p>
          <w:p>
            <w:pPr>
              <w:pStyle w:val="Tabletext"/>
              <w:widowControl w:val="false"/>
              <w:snapToGrid w:val="false"/>
              <w:spacing w:lineRule="auto" w:line="228"/>
              <w:ind w:hanging="142" w:start="34" w:end="-108"/>
              <w:rPr>
                <w:sz w:val="20"/>
                <w:szCs w:val="20"/>
                <w:lang w:val="ru-RU" w:eastAsia="en-US"/>
              </w:rPr>
            </w:pPr>
            <w:r>
              <w:rPr>
                <w:sz w:val="20"/>
                <w:szCs w:val="20"/>
                <w:lang w:val="ru-RU" w:eastAsia="en-US"/>
              </w:rPr>
            </w:r>
          </w:p>
          <w:p>
            <w:pPr>
              <w:pStyle w:val="Tabletext"/>
              <w:widowControl w:val="false"/>
              <w:snapToGrid w:val="false"/>
              <w:spacing w:lineRule="auto" w:line="228"/>
              <w:ind w:hanging="142" w:start="34" w:end="-108"/>
              <w:rPr>
                <w:sz w:val="20"/>
                <w:szCs w:val="20"/>
                <w:lang w:val="ru-RU" w:eastAsia="en-US"/>
              </w:rPr>
            </w:pPr>
            <w:r>
              <w:rPr>
                <w:sz w:val="20"/>
                <w:szCs w:val="20"/>
                <w:lang w:val="ru-RU" w:eastAsia="en-US"/>
              </w:rPr>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149000</w:t>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18 060</w:t>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Займы, погашенные в течение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18 060</w:t>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41 500</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Переквалификация в состав долгосрочных займов</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0</w:t>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1 550</w:t>
            </w:r>
          </w:p>
        </w:tc>
      </w:tr>
      <w:tr>
        <w:trPr>
          <w:trHeight w:val="286"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конец года</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149 000</w:t>
            </w:r>
          </w:p>
        </w:tc>
        <w:tc>
          <w:tcPr>
            <w:tcW w:w="1704"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b/>
                <w:bCs/>
                <w:sz w:val="20"/>
                <w:szCs w:val="20"/>
                <w:lang w:val="ru-RU" w:eastAsia="en-US"/>
              </w:rPr>
            </w:pPr>
            <w:r>
              <w:rPr>
                <w:b/>
                <w:bCs/>
                <w:sz w:val="20"/>
                <w:szCs w:val="20"/>
                <w:lang w:val="ru-RU" w:eastAsia="en-US"/>
              </w:rPr>
              <w:t>18 060</w:t>
            </w:r>
          </w:p>
        </w:tc>
      </w:tr>
    </w:tbl>
    <w:p>
      <w:pPr>
        <w:pStyle w:val="Text33"/>
        <w:widowControl w:val="false"/>
        <w:spacing w:lineRule="auto" w:line="240" w:before="0" w:after="0"/>
        <w:ind w:firstLine="709" w:end="0"/>
        <w:rPr>
          <w:color w:val="000000"/>
          <w:sz w:val="24"/>
          <w:szCs w:val="24"/>
          <w:lang w:eastAsia="en-US"/>
        </w:rPr>
      </w:pPr>
      <w:r>
        <w:rPr>
          <w:color w:val="000000"/>
          <w:sz w:val="24"/>
          <w:szCs w:val="24"/>
          <w:lang w:eastAsia="en-US"/>
        </w:rPr>
      </w:r>
    </w:p>
    <w:p>
      <w:pPr>
        <w:pStyle w:val="Text33"/>
        <w:widowControl w:val="false"/>
        <w:spacing w:lineRule="auto" w:line="240" w:before="0" w:after="0"/>
        <w:ind w:firstLine="709" w:end="0"/>
        <w:rPr>
          <w:color w:val="000000"/>
          <w:sz w:val="24"/>
          <w:szCs w:val="24"/>
          <w:lang w:eastAsia="en-US"/>
        </w:rPr>
      </w:pPr>
      <w:r>
        <w:rPr>
          <w:color w:val="000000"/>
          <w:sz w:val="24"/>
          <w:szCs w:val="24"/>
          <w:lang w:eastAsia="en-US"/>
        </w:rPr>
      </w:r>
    </w:p>
    <w:p>
      <w:pPr>
        <w:pStyle w:val="Text33"/>
        <w:widowControl w:val="false"/>
        <w:spacing w:lineRule="auto" w:line="240" w:before="0" w:after="0"/>
        <w:ind w:firstLine="709" w:end="0"/>
        <w:rPr>
          <w:color w:val="000000"/>
          <w:sz w:val="24"/>
          <w:szCs w:val="24"/>
          <w:lang w:eastAsia="en-US"/>
        </w:rPr>
      </w:pPr>
      <w:r>
        <w:rPr>
          <w:color w:val="000000"/>
          <w:sz w:val="24"/>
          <w:szCs w:val="24"/>
          <w:lang w:eastAsia="en-US"/>
        </w:rPr>
        <w:t>Информация о дебиторской задолженности по начисленным процентам по займам, выданным связанным сторонам, на 31.12.2025 и на 31.12.2024.</w:t>
      </w:r>
    </w:p>
    <w:p>
      <w:pPr>
        <w:pStyle w:val="Normal"/>
        <w:rPr>
          <w:color w:val="000000"/>
          <w:sz w:val="24"/>
          <w:szCs w:val="24"/>
          <w:lang w:eastAsia="en-US"/>
        </w:rPr>
      </w:pPr>
      <w:r>
        <w:rPr>
          <w:color w:val="000000"/>
          <w:sz w:val="24"/>
          <w:szCs w:val="24"/>
          <w:lang w:eastAsia="en-US"/>
        </w:rPr>
        <w:t xml:space="preserve">                                        </w:t>
      </w:r>
    </w:p>
    <w:tbl>
      <w:tblPr>
        <w:tblW w:w="9120" w:type="dxa"/>
        <w:jc w:val="center"/>
        <w:tblInd w:w="0" w:type="dxa"/>
        <w:tblLayout w:type="fixed"/>
        <w:tblCellMar>
          <w:top w:w="0" w:type="dxa"/>
          <w:start w:w="108" w:type="dxa"/>
          <w:bottom w:w="0" w:type="dxa"/>
          <w:end w:w="108" w:type="dxa"/>
        </w:tblCellMar>
      </w:tblPr>
      <w:tblGrid>
        <w:gridCol w:w="5667"/>
        <w:gridCol w:w="1701"/>
        <w:gridCol w:w="1752"/>
      </w:tblGrid>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snapToGrid w:val="false"/>
              <w:spacing w:lineRule="auto" w:line="228"/>
              <w:ind w:hanging="142" w:start="34" w:end="-108"/>
              <w:rPr>
                <w:b/>
                <w:sz w:val="20"/>
                <w:szCs w:val="20"/>
                <w:lang w:val="ru-RU" w:eastAsia="en-US"/>
              </w:rPr>
            </w:pPr>
            <w:r>
              <w:rPr>
                <w:b/>
                <w:sz w:val="20"/>
                <w:szCs w:val="20"/>
                <w:lang w:val="ru-RU" w:eastAsia="en-US"/>
              </w:rPr>
              <w:t>Период</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2025</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pacing w:lineRule="auto" w:line="228"/>
              <w:ind w:start="-108" w:end="-108"/>
              <w:jc w:val="center"/>
              <w:rPr>
                <w:b/>
                <w:bCs/>
                <w:sz w:val="20"/>
                <w:szCs w:val="20"/>
                <w:lang w:val="ru-RU" w:eastAsia="en-US"/>
              </w:rPr>
            </w:pPr>
            <w:r>
              <w:rPr>
                <w:b/>
                <w:bCs/>
                <w:sz w:val="20"/>
                <w:szCs w:val="20"/>
                <w:lang w:val="ru-RU" w:eastAsia="en-US"/>
              </w:rPr>
              <w:t>2024</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начало года, в т.ч.</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rPr>
            </w:pPr>
            <w:r>
              <w:rPr>
                <w:lang w:val="ru-RU"/>
              </w:rPr>
              <w:t>23135</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rPr>
            </w:pPr>
            <w:r>
              <w:rPr>
                <w:lang w:val="ru-RU"/>
              </w:rPr>
              <w:t>40 089</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Проценты по долгосрочным займам</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23128</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31 564</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Проценты по краткосрочным займам</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7</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8 525</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Начислены проценты</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9 948</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15 745</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Погашены проценты</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9 761</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32 699</w:t>
            </w:r>
          </w:p>
        </w:tc>
      </w:tr>
      <w:tr>
        <w:trPr>
          <w:trHeight w:val="2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На конец года, в т.ч.</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23 322</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23 135</w:t>
            </w:r>
          </w:p>
        </w:tc>
      </w:tr>
      <w:tr>
        <w:trPr>
          <w:trHeight w:val="153"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Проценты по долгосрочным займам</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610</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lang w:val="ru-RU" w:eastAsia="en-US"/>
              </w:rPr>
            </w:pPr>
            <w:r>
              <w:rPr>
                <w:lang w:val="ru-RU" w:eastAsia="en-US"/>
              </w:rPr>
              <w:t>23 128</w:t>
            </w:r>
          </w:p>
        </w:tc>
      </w:tr>
      <w:tr>
        <w:trPr>
          <w:trHeight w:val="214" w:hRule="atLeast"/>
        </w:trPr>
        <w:tc>
          <w:tcPr>
            <w:tcW w:w="5667"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hanging="142" w:start="34" w:end="-108"/>
              <w:rPr>
                <w:sz w:val="20"/>
                <w:szCs w:val="20"/>
                <w:lang w:val="ru-RU" w:eastAsia="en-US"/>
              </w:rPr>
            </w:pPr>
            <w:r>
              <w:rPr>
                <w:sz w:val="20"/>
                <w:szCs w:val="20"/>
                <w:lang w:val="ru-RU" w:eastAsia="en-US"/>
              </w:rPr>
              <w:t>Проценты по краткосрочным займам</w:t>
            </w:r>
          </w:p>
        </w:tc>
        <w:tc>
          <w:tcPr>
            <w:tcW w:w="1701"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22712</w:t>
            </w:r>
          </w:p>
        </w:tc>
        <w:tc>
          <w:tcPr>
            <w:tcW w:w="1752" w:type="dxa"/>
            <w:tcBorders>
              <w:top w:val="single" w:sz="4" w:space="0" w:color="000000"/>
              <w:start w:val="single" w:sz="4" w:space="0" w:color="000000"/>
              <w:bottom w:val="single" w:sz="4" w:space="0" w:color="000000"/>
              <w:end w:val="single" w:sz="4" w:space="0" w:color="000000"/>
            </w:tcBorders>
            <w:vAlign w:val="bottom"/>
          </w:tcPr>
          <w:p>
            <w:pPr>
              <w:pStyle w:val="Tabletext"/>
              <w:widowControl w:val="false"/>
              <w:snapToGrid w:val="false"/>
              <w:spacing w:lineRule="auto" w:line="228"/>
              <w:ind w:start="-108" w:end="-108"/>
              <w:jc w:val="end"/>
              <w:rPr/>
            </w:pPr>
            <w:r>
              <w:rPr/>
              <w:t>7</w:t>
            </w:r>
          </w:p>
        </w:tc>
      </w:tr>
    </w:tbl>
    <w:p>
      <w:pPr>
        <w:pStyle w:val="Heading1"/>
        <w:ind w:hanging="0" w:start="0"/>
        <w:jc w:val="center"/>
        <w:rPr>
          <w:rFonts w:ascii="Times New Roman" w:hAnsi="Times New Roman" w:cs="Times New Roman"/>
          <w:sz w:val="24"/>
          <w:szCs w:val="24"/>
        </w:rPr>
      </w:pPr>
      <w:r>
        <w:rPr>
          <w:rFonts w:cs="Times New Roman" w:ascii="Times New Roman" w:hAnsi="Times New Roman"/>
          <w:sz w:val="24"/>
          <w:szCs w:val="24"/>
        </w:rPr>
      </w:r>
    </w:p>
    <w:p>
      <w:pPr>
        <w:pStyle w:val="Heading1"/>
        <w:ind w:hanging="0" w:start="0"/>
        <w:jc w:val="center"/>
        <w:rPr>
          <w:rFonts w:ascii="Times New Roman" w:hAnsi="Times New Roman" w:cs="Times New Roman"/>
          <w:sz w:val="24"/>
          <w:szCs w:val="24"/>
        </w:rPr>
      </w:pPr>
      <w:r>
        <w:rPr>
          <w:rFonts w:cs="Times New Roman" w:ascii="Times New Roman" w:hAnsi="Times New Roman"/>
          <w:sz w:val="24"/>
          <w:szCs w:val="24"/>
        </w:rPr>
      </w:r>
    </w:p>
    <w:p>
      <w:pPr>
        <w:pStyle w:val="Heading1"/>
        <w:ind w:hanging="0" w:start="0"/>
        <w:jc w:val="center"/>
        <w:rPr>
          <w:rFonts w:ascii="Times New Roman" w:hAnsi="Times New Roman" w:cs="Times New Roman"/>
          <w:sz w:val="24"/>
          <w:szCs w:val="24"/>
        </w:rPr>
      </w:pPr>
      <w:r>
        <w:rPr>
          <w:rFonts w:cs="Times New Roman" w:ascii="Times New Roman" w:hAnsi="Times New Roman"/>
          <w:sz w:val="24"/>
          <w:szCs w:val="24"/>
          <w:lang w:val="ru-RU"/>
        </w:rPr>
        <w:t xml:space="preserve">15.3. </w:t>
      </w:r>
      <w:r>
        <w:rPr>
          <w:rFonts w:cs="Times New Roman" w:ascii="Times New Roman" w:hAnsi="Times New Roman"/>
          <w:sz w:val="24"/>
          <w:szCs w:val="24"/>
        </w:rPr>
        <w:t xml:space="preserve">Реализация </w:t>
      </w:r>
      <w:r>
        <w:rPr>
          <w:rFonts w:cs="Times New Roman" w:ascii="Times New Roman" w:hAnsi="Times New Roman"/>
          <w:sz w:val="24"/>
          <w:szCs w:val="24"/>
          <w:lang w:val="ru-RU"/>
        </w:rPr>
        <w:t xml:space="preserve">готовой продукции, </w:t>
      </w:r>
      <w:r>
        <w:rPr>
          <w:rFonts w:cs="Times New Roman" w:ascii="Times New Roman" w:hAnsi="Times New Roman"/>
          <w:sz w:val="24"/>
          <w:szCs w:val="24"/>
        </w:rPr>
        <w:t xml:space="preserve">товаров и услуг связанным сторонам </w:t>
      </w:r>
    </w:p>
    <w:p>
      <w:pPr>
        <w:pStyle w:val="Heading1"/>
        <w:ind w:hanging="0" w:start="0"/>
        <w:jc w:val="center"/>
        <w:rPr>
          <w:rFonts w:cs="Times New Roman"/>
          <w:sz w:val="24"/>
          <w:szCs w:val="24"/>
        </w:rPr>
      </w:pPr>
      <w:r>
        <w:rPr>
          <w:rFonts w:cs="Times New Roman" w:ascii="Times New Roman" w:hAnsi="Times New Roman"/>
          <w:sz w:val="24"/>
          <w:szCs w:val="24"/>
        </w:rPr>
        <w:t>(с учетом НДС)</w:t>
      </w:r>
    </w:p>
    <w:p>
      <w:pPr>
        <w:pStyle w:val="Normal"/>
        <w:ind w:start="7788" w:end="0"/>
        <w:rPr>
          <w:b/>
          <w:bCs/>
          <w:color w:val="000000"/>
        </w:rPr>
      </w:pPr>
      <w:r>
        <w:rPr>
          <w:sz w:val="24"/>
          <w:szCs w:val="24"/>
        </w:rPr>
        <w:t>тыс. руб.</w:t>
      </w:r>
    </w:p>
    <w:tbl>
      <w:tblPr>
        <w:tblW w:w="10065" w:type="dxa"/>
        <w:jc w:val="start"/>
        <w:tblInd w:w="-10" w:type="dxa"/>
        <w:tblLayout w:type="fixed"/>
        <w:tblCellMar>
          <w:top w:w="0" w:type="dxa"/>
          <w:start w:w="108" w:type="dxa"/>
          <w:bottom w:w="0" w:type="dxa"/>
          <w:end w:w="108" w:type="dxa"/>
        </w:tblCellMar>
      </w:tblPr>
      <w:tblGrid>
        <w:gridCol w:w="1985"/>
        <w:gridCol w:w="1559"/>
        <w:gridCol w:w="1585"/>
        <w:gridCol w:w="1226"/>
        <w:gridCol w:w="1661"/>
        <w:gridCol w:w="2049"/>
      </w:tblGrid>
      <w:tr>
        <w:trPr>
          <w:trHeight w:val="525" w:hRule="atLeast"/>
        </w:trPr>
        <w:tc>
          <w:tcPr>
            <w:tcW w:w="1985" w:type="dxa"/>
            <w:tcBorders>
              <w:top w:val="single" w:sz="8" w:space="0" w:color="000000"/>
              <w:start w:val="single" w:sz="8" w:space="0" w:color="000000"/>
              <w:bottom w:val="single" w:sz="8" w:space="0" w:color="000000"/>
              <w:end w:val="single" w:sz="4" w:space="0" w:color="000000"/>
            </w:tcBorders>
            <w:vAlign w:val="center"/>
          </w:tcPr>
          <w:p>
            <w:pPr>
              <w:pStyle w:val="Normal"/>
              <w:jc w:val="center"/>
              <w:rPr>
                <w:b/>
                <w:bCs/>
                <w:color w:val="000000"/>
              </w:rPr>
            </w:pPr>
            <w:r>
              <w:rPr>
                <w:b/>
                <w:bCs/>
                <w:color w:val="000000"/>
              </w:rPr>
              <w:t>Наименование операции</w:t>
            </w:r>
          </w:p>
        </w:tc>
        <w:tc>
          <w:tcPr>
            <w:tcW w:w="1559" w:type="dxa"/>
            <w:tcBorders>
              <w:top w:val="single" w:sz="8" w:space="0" w:color="000000"/>
              <w:bottom w:val="single" w:sz="8" w:space="0" w:color="000000"/>
              <w:end w:val="single" w:sz="4" w:space="0" w:color="000000"/>
            </w:tcBorders>
            <w:vAlign w:val="center"/>
          </w:tcPr>
          <w:p>
            <w:pPr>
              <w:pStyle w:val="Normal"/>
              <w:jc w:val="center"/>
              <w:rPr>
                <w:b/>
                <w:bCs/>
                <w:color w:val="000000"/>
              </w:rPr>
            </w:pPr>
            <w:r>
              <w:rPr>
                <w:b/>
                <w:bCs/>
                <w:color w:val="000000"/>
              </w:rPr>
              <w:t>2025 год</w:t>
            </w:r>
          </w:p>
        </w:tc>
        <w:tc>
          <w:tcPr>
            <w:tcW w:w="1585" w:type="dxa"/>
            <w:tcBorders>
              <w:top w:val="single" w:sz="8" w:space="0" w:color="000000"/>
              <w:bottom w:val="single" w:sz="8" w:space="0" w:color="000000"/>
              <w:end w:val="single" w:sz="4" w:space="0" w:color="000000"/>
            </w:tcBorders>
            <w:vAlign w:val="center"/>
          </w:tcPr>
          <w:p>
            <w:pPr>
              <w:pStyle w:val="Normal"/>
              <w:jc w:val="center"/>
              <w:rPr>
                <w:b/>
                <w:bCs/>
                <w:color w:val="000000"/>
              </w:rPr>
            </w:pPr>
            <w:r>
              <w:rPr>
                <w:b/>
                <w:bCs/>
                <w:color w:val="000000"/>
              </w:rPr>
              <w:t>дебиторская задолженность</w:t>
            </w:r>
          </w:p>
        </w:tc>
        <w:tc>
          <w:tcPr>
            <w:tcW w:w="1226" w:type="dxa"/>
            <w:tcBorders>
              <w:top w:val="single" w:sz="8" w:space="0" w:color="000000"/>
              <w:bottom w:val="single" w:sz="8" w:space="0" w:color="000000"/>
              <w:end w:val="single" w:sz="4" w:space="0" w:color="000000"/>
            </w:tcBorders>
            <w:vAlign w:val="center"/>
          </w:tcPr>
          <w:p>
            <w:pPr>
              <w:pStyle w:val="Normal"/>
              <w:jc w:val="center"/>
              <w:rPr>
                <w:b/>
                <w:bCs/>
                <w:color w:val="000000"/>
              </w:rPr>
            </w:pPr>
            <w:r>
              <w:rPr>
                <w:b/>
                <w:bCs/>
                <w:color w:val="000000"/>
              </w:rPr>
              <w:t>2024 год</w:t>
            </w:r>
          </w:p>
        </w:tc>
        <w:tc>
          <w:tcPr>
            <w:tcW w:w="1661" w:type="dxa"/>
            <w:tcBorders>
              <w:top w:val="single" w:sz="8" w:space="0" w:color="000000"/>
              <w:bottom w:val="single" w:sz="8" w:space="0" w:color="000000"/>
              <w:end w:val="single" w:sz="4" w:space="0" w:color="000000"/>
            </w:tcBorders>
            <w:vAlign w:val="center"/>
          </w:tcPr>
          <w:p>
            <w:pPr>
              <w:pStyle w:val="Normal"/>
              <w:jc w:val="center"/>
              <w:rPr>
                <w:b/>
                <w:bCs/>
                <w:color w:val="000000"/>
              </w:rPr>
            </w:pPr>
            <w:r>
              <w:rPr>
                <w:b/>
                <w:bCs/>
                <w:color w:val="000000"/>
              </w:rPr>
              <w:t>дебиторская задолженность</w:t>
            </w:r>
          </w:p>
        </w:tc>
        <w:tc>
          <w:tcPr>
            <w:tcW w:w="2049" w:type="dxa"/>
            <w:tcBorders>
              <w:top w:val="single" w:sz="8" w:space="0" w:color="000000"/>
              <w:bottom w:val="single" w:sz="8" w:space="0" w:color="000000"/>
              <w:end w:val="single" w:sz="8" w:space="0" w:color="000000"/>
            </w:tcBorders>
            <w:vAlign w:val="bottom"/>
          </w:tcPr>
          <w:p>
            <w:pPr>
              <w:pStyle w:val="Normal"/>
              <w:rPr>
                <w:b/>
                <w:bCs/>
              </w:rPr>
            </w:pPr>
            <w:r>
              <w:rPr>
                <w:b/>
                <w:bCs/>
              </w:rPr>
              <w:t>Сроки осуществления расчетов</w:t>
            </w:r>
          </w:p>
        </w:tc>
      </w:tr>
      <w:tr>
        <w:trPr>
          <w:trHeight w:val="450" w:hRule="atLeast"/>
        </w:trPr>
        <w:tc>
          <w:tcPr>
            <w:tcW w:w="1985" w:type="dxa"/>
            <w:tcBorders>
              <w:start w:val="single" w:sz="8" w:space="0" w:color="000000"/>
              <w:bottom w:val="single" w:sz="4" w:space="0" w:color="000000"/>
              <w:end w:val="single" w:sz="4" w:space="0" w:color="000000"/>
            </w:tcBorders>
            <w:vAlign w:val="center"/>
          </w:tcPr>
          <w:p>
            <w:pPr>
              <w:pStyle w:val="Normal"/>
              <w:jc w:val="both"/>
              <w:rPr/>
            </w:pPr>
            <w:r>
              <w:rPr/>
              <w:t>Реализация сырья и вспомогательных материалов</w:t>
            </w:r>
          </w:p>
        </w:tc>
        <w:tc>
          <w:tcPr>
            <w:tcW w:w="1559" w:type="dxa"/>
            <w:tcBorders>
              <w:start w:val="single" w:sz="8" w:space="0" w:color="000000"/>
              <w:bottom w:val="single" w:sz="4" w:space="0" w:color="000000"/>
              <w:end w:val="single" w:sz="4" w:space="0" w:color="000000"/>
            </w:tcBorders>
            <w:vAlign w:val="center"/>
          </w:tcPr>
          <w:p>
            <w:pPr>
              <w:pStyle w:val="Normal"/>
              <w:snapToGrid w:val="false"/>
              <w:jc w:val="end"/>
              <w:rPr/>
            </w:pPr>
            <w:r>
              <w:rPr/>
              <w:t>27 091</w:t>
            </w:r>
          </w:p>
        </w:tc>
        <w:tc>
          <w:tcPr>
            <w:tcW w:w="1585" w:type="dxa"/>
            <w:tcBorders>
              <w:start w:val="single" w:sz="8" w:space="0" w:color="000000"/>
              <w:bottom w:val="single" w:sz="4" w:space="0" w:color="000000"/>
              <w:end w:val="single" w:sz="4" w:space="0" w:color="000000"/>
            </w:tcBorders>
            <w:vAlign w:val="center"/>
          </w:tcPr>
          <w:p>
            <w:pPr>
              <w:pStyle w:val="Normal"/>
              <w:snapToGrid w:val="false"/>
              <w:jc w:val="end"/>
              <w:rPr/>
            </w:pPr>
            <w:r>
              <w:rPr/>
              <w:t>38 704</w:t>
            </w:r>
          </w:p>
        </w:tc>
        <w:tc>
          <w:tcPr>
            <w:tcW w:w="1226" w:type="dxa"/>
            <w:tcBorders>
              <w:start w:val="single" w:sz="8" w:space="0" w:color="000000"/>
              <w:bottom w:val="single" w:sz="4" w:space="0" w:color="000000"/>
              <w:end w:val="single" w:sz="4" w:space="0" w:color="000000"/>
            </w:tcBorders>
            <w:vAlign w:val="center"/>
          </w:tcPr>
          <w:p>
            <w:pPr>
              <w:pStyle w:val="Normal"/>
              <w:snapToGrid w:val="false"/>
              <w:jc w:val="end"/>
              <w:rPr/>
            </w:pPr>
            <w:r>
              <w:rPr/>
              <w:t>21 367</w:t>
            </w:r>
          </w:p>
        </w:tc>
        <w:tc>
          <w:tcPr>
            <w:tcW w:w="1661" w:type="dxa"/>
            <w:tcBorders>
              <w:start w:val="single" w:sz="8" w:space="0" w:color="000000"/>
              <w:bottom w:val="single" w:sz="4" w:space="0" w:color="000000"/>
              <w:end w:val="single" w:sz="4" w:space="0" w:color="000000"/>
            </w:tcBorders>
            <w:vAlign w:val="center"/>
          </w:tcPr>
          <w:p>
            <w:pPr>
              <w:pStyle w:val="Normal"/>
              <w:snapToGrid w:val="false"/>
              <w:jc w:val="end"/>
              <w:rPr/>
            </w:pPr>
            <w:r>
              <w:rPr/>
              <w:t>13 548</w:t>
            </w:r>
          </w:p>
        </w:tc>
        <w:tc>
          <w:tcPr>
            <w:tcW w:w="2049" w:type="dxa"/>
            <w:tcBorders>
              <w:start w:val="single" w:sz="8" w:space="0" w:color="000000"/>
              <w:bottom w:val="single" w:sz="4" w:space="0" w:color="000000"/>
              <w:end w:val="single" w:sz="4" w:space="0" w:color="000000"/>
            </w:tcBorders>
            <w:vAlign w:val="center"/>
          </w:tcPr>
          <w:p>
            <w:pPr>
              <w:pStyle w:val="Normal"/>
              <w:jc w:val="both"/>
              <w:rPr/>
            </w:pPr>
            <w:r>
              <w:rPr/>
              <w:t xml:space="preserve">20 банковских дней </w:t>
            </w:r>
          </w:p>
        </w:tc>
      </w:tr>
      <w:tr>
        <w:trPr>
          <w:trHeight w:val="450" w:hRule="atLeast"/>
        </w:trPr>
        <w:tc>
          <w:tcPr>
            <w:tcW w:w="1985" w:type="dxa"/>
            <w:tcBorders>
              <w:start w:val="single" w:sz="8" w:space="0" w:color="000000"/>
              <w:bottom w:val="single" w:sz="4" w:space="0" w:color="000000"/>
              <w:end w:val="single" w:sz="4" w:space="0" w:color="000000"/>
            </w:tcBorders>
            <w:vAlign w:val="center"/>
          </w:tcPr>
          <w:p>
            <w:pPr>
              <w:pStyle w:val="Normal"/>
              <w:rPr/>
            </w:pPr>
            <w:r>
              <w:rPr/>
              <w:t>Реализация продукции</w:t>
            </w:r>
          </w:p>
        </w:tc>
        <w:tc>
          <w:tcPr>
            <w:tcW w:w="1559" w:type="dxa"/>
            <w:tcBorders>
              <w:start w:val="single" w:sz="8" w:space="0" w:color="000000"/>
              <w:bottom w:val="single" w:sz="4" w:space="0" w:color="000000"/>
              <w:end w:val="single" w:sz="4" w:space="0" w:color="000000"/>
            </w:tcBorders>
            <w:vAlign w:val="center"/>
          </w:tcPr>
          <w:p>
            <w:pPr>
              <w:pStyle w:val="Normal"/>
              <w:snapToGrid w:val="false"/>
              <w:jc w:val="end"/>
              <w:rPr/>
            </w:pPr>
            <w:r>
              <w:rPr/>
              <w:t>1 273 387</w:t>
            </w:r>
          </w:p>
        </w:tc>
        <w:tc>
          <w:tcPr>
            <w:tcW w:w="1585" w:type="dxa"/>
            <w:tcBorders>
              <w:start w:val="single" w:sz="8" w:space="0" w:color="000000"/>
              <w:bottom w:val="single" w:sz="4" w:space="0" w:color="000000"/>
              <w:end w:val="single" w:sz="4" w:space="0" w:color="000000"/>
            </w:tcBorders>
            <w:vAlign w:val="center"/>
          </w:tcPr>
          <w:p>
            <w:pPr>
              <w:pStyle w:val="Normal"/>
              <w:snapToGrid w:val="false"/>
              <w:jc w:val="end"/>
              <w:rPr/>
            </w:pPr>
            <w:r>
              <w:rPr/>
              <w:t>876 701</w:t>
            </w:r>
          </w:p>
        </w:tc>
        <w:tc>
          <w:tcPr>
            <w:tcW w:w="1226" w:type="dxa"/>
            <w:tcBorders>
              <w:start w:val="single" w:sz="8" w:space="0" w:color="000000"/>
              <w:bottom w:val="single" w:sz="4" w:space="0" w:color="000000"/>
              <w:end w:val="single" w:sz="4" w:space="0" w:color="000000"/>
            </w:tcBorders>
            <w:vAlign w:val="center"/>
          </w:tcPr>
          <w:p>
            <w:pPr>
              <w:pStyle w:val="Normal"/>
              <w:snapToGrid w:val="false"/>
              <w:jc w:val="end"/>
              <w:rPr/>
            </w:pPr>
            <w:r>
              <w:rPr/>
              <w:t>830 876</w:t>
            </w:r>
          </w:p>
        </w:tc>
        <w:tc>
          <w:tcPr>
            <w:tcW w:w="1661" w:type="dxa"/>
            <w:tcBorders>
              <w:start w:val="single" w:sz="8" w:space="0" w:color="000000"/>
              <w:bottom w:val="single" w:sz="4" w:space="0" w:color="000000"/>
              <w:end w:val="single" w:sz="4" w:space="0" w:color="000000"/>
            </w:tcBorders>
            <w:vAlign w:val="center"/>
          </w:tcPr>
          <w:p>
            <w:pPr>
              <w:pStyle w:val="Normal"/>
              <w:snapToGrid w:val="false"/>
              <w:jc w:val="end"/>
              <w:rPr/>
            </w:pPr>
            <w:r>
              <w:rPr/>
              <w:t>563 509</w:t>
            </w:r>
          </w:p>
        </w:tc>
        <w:tc>
          <w:tcPr>
            <w:tcW w:w="2049" w:type="dxa"/>
            <w:tcBorders>
              <w:start w:val="single" w:sz="8" w:space="0" w:color="000000"/>
              <w:bottom w:val="single" w:sz="4" w:space="0" w:color="000000"/>
              <w:end w:val="single" w:sz="4" w:space="0" w:color="000000"/>
            </w:tcBorders>
            <w:vAlign w:val="center"/>
          </w:tcPr>
          <w:p>
            <w:pPr>
              <w:pStyle w:val="Normal"/>
              <w:jc w:val="both"/>
              <w:rPr/>
            </w:pPr>
            <w:r>
              <w:rPr/>
              <w:t>40 кал. дней - 60 раб. дней с даты поставки</w:t>
            </w:r>
          </w:p>
        </w:tc>
      </w:tr>
    </w:tbl>
    <w:p>
      <w:pPr>
        <w:pStyle w:val="Normal"/>
        <w:rPr/>
      </w:pPr>
      <w:r>
        <w:rPr/>
      </w:r>
    </w:p>
    <w:p>
      <w:pPr>
        <w:pStyle w:val="Heading1"/>
        <w:ind w:hanging="0" w:start="0"/>
        <w:jc w:val="center"/>
        <w:rPr>
          <w:sz w:val="24"/>
          <w:szCs w:val="24"/>
        </w:rPr>
      </w:pPr>
      <w:r>
        <w:rPr>
          <w:rFonts w:cs="Times New Roman" w:ascii="Times New Roman" w:hAnsi="Times New Roman"/>
          <w:sz w:val="24"/>
          <w:szCs w:val="24"/>
          <w:lang w:val="ru-RU"/>
        </w:rPr>
        <w:t xml:space="preserve">15.4. </w:t>
      </w:r>
      <w:r>
        <w:rPr>
          <w:rFonts w:cs="Times New Roman" w:ascii="Times New Roman" w:hAnsi="Times New Roman"/>
          <w:sz w:val="24"/>
          <w:szCs w:val="24"/>
        </w:rPr>
        <w:t xml:space="preserve">Приобретение </w:t>
      </w:r>
      <w:r>
        <w:rPr>
          <w:rFonts w:cs="Times New Roman" w:ascii="Times New Roman" w:hAnsi="Times New Roman"/>
          <w:sz w:val="24"/>
          <w:szCs w:val="24"/>
          <w:lang w:val="ru-RU"/>
        </w:rPr>
        <w:t>товаров, работ, у</w:t>
      </w:r>
      <w:r>
        <w:rPr>
          <w:rFonts w:cs="Times New Roman" w:ascii="Times New Roman" w:hAnsi="Times New Roman"/>
          <w:sz w:val="24"/>
          <w:szCs w:val="24"/>
        </w:rPr>
        <w:t>слуг у связанных сторон</w:t>
      </w:r>
    </w:p>
    <w:p>
      <w:pPr>
        <w:pStyle w:val="Normal"/>
        <w:jc w:val="center"/>
        <w:rPr>
          <w:b/>
          <w:sz w:val="24"/>
          <w:szCs w:val="24"/>
          <w:lang w:val="ru-RU"/>
        </w:rPr>
      </w:pPr>
      <w:r>
        <w:rPr>
          <w:b/>
          <w:sz w:val="24"/>
          <w:szCs w:val="24"/>
        </w:rPr>
        <w:t>(с учетом НДС)</w:t>
      </w:r>
    </w:p>
    <w:p>
      <w:pPr>
        <w:pStyle w:val="Normal"/>
        <w:rPr/>
      </w:pPr>
      <w:r>
        <w:rPr>
          <w:sz w:val="24"/>
          <w:szCs w:val="24"/>
          <w:lang w:val="ru-RU"/>
        </w:rPr>
        <w:tab/>
        <w:tab/>
        <w:tab/>
        <w:tab/>
        <w:tab/>
        <w:tab/>
        <w:tab/>
        <w:tab/>
        <w:tab/>
        <w:tab/>
        <w:tab/>
      </w:r>
      <w:r>
        <w:rPr>
          <w:sz w:val="24"/>
          <w:szCs w:val="24"/>
        </w:rPr>
        <w:t xml:space="preserve">      т</w:t>
      </w:r>
      <w:r>
        <w:rPr/>
        <w:t>ыс. руб.</w:t>
      </w:r>
    </w:p>
    <w:tbl>
      <w:tblPr>
        <w:tblW w:w="10065" w:type="dxa"/>
        <w:jc w:val="start"/>
        <w:tblInd w:w="-10" w:type="dxa"/>
        <w:tblLayout w:type="fixed"/>
        <w:tblCellMar>
          <w:top w:w="0" w:type="dxa"/>
          <w:start w:w="108" w:type="dxa"/>
          <w:bottom w:w="0" w:type="dxa"/>
          <w:end w:w="108" w:type="dxa"/>
        </w:tblCellMar>
      </w:tblPr>
      <w:tblGrid>
        <w:gridCol w:w="1942"/>
        <w:gridCol w:w="1500"/>
        <w:gridCol w:w="1567"/>
        <w:gridCol w:w="1370"/>
        <w:gridCol w:w="1715"/>
        <w:gridCol w:w="1971"/>
      </w:tblGrid>
      <w:tr>
        <w:trPr>
          <w:trHeight w:val="510" w:hRule="atLeast"/>
        </w:trPr>
        <w:tc>
          <w:tcPr>
            <w:tcW w:w="1942" w:type="dxa"/>
            <w:tcBorders>
              <w:top w:val="single" w:sz="8" w:space="0" w:color="000000"/>
              <w:start w:val="single" w:sz="8" w:space="0" w:color="000000"/>
              <w:bottom w:val="single" w:sz="4" w:space="0" w:color="000000"/>
              <w:end w:val="single" w:sz="4" w:space="0" w:color="000000"/>
            </w:tcBorders>
            <w:vAlign w:val="center"/>
          </w:tcPr>
          <w:p>
            <w:pPr>
              <w:pStyle w:val="Normal"/>
              <w:jc w:val="center"/>
              <w:rPr>
                <w:b/>
                <w:bCs/>
              </w:rPr>
            </w:pPr>
            <w:r>
              <w:rPr>
                <w:b/>
                <w:bCs/>
              </w:rPr>
              <w:t>Наименование операции</w:t>
            </w:r>
          </w:p>
        </w:tc>
        <w:tc>
          <w:tcPr>
            <w:tcW w:w="1500" w:type="dxa"/>
            <w:tcBorders>
              <w:top w:val="single" w:sz="8" w:space="0" w:color="000000"/>
              <w:bottom w:val="single" w:sz="4" w:space="0" w:color="000000"/>
              <w:end w:val="single" w:sz="4" w:space="0" w:color="000000"/>
            </w:tcBorders>
            <w:vAlign w:val="center"/>
          </w:tcPr>
          <w:p>
            <w:pPr>
              <w:pStyle w:val="Normal"/>
              <w:jc w:val="center"/>
              <w:rPr>
                <w:b/>
                <w:bCs/>
              </w:rPr>
            </w:pPr>
            <w:r>
              <w:rPr>
                <w:b/>
                <w:bCs/>
              </w:rPr>
              <w:t>2025 год</w:t>
            </w:r>
          </w:p>
        </w:tc>
        <w:tc>
          <w:tcPr>
            <w:tcW w:w="1567" w:type="dxa"/>
            <w:tcBorders>
              <w:top w:val="single" w:sz="8" w:space="0" w:color="000000"/>
              <w:bottom w:val="single" w:sz="4" w:space="0" w:color="000000"/>
              <w:end w:val="single" w:sz="4" w:space="0" w:color="000000"/>
            </w:tcBorders>
            <w:vAlign w:val="center"/>
          </w:tcPr>
          <w:p>
            <w:pPr>
              <w:pStyle w:val="Normal"/>
              <w:jc w:val="center"/>
              <w:rPr>
                <w:b/>
                <w:bCs/>
              </w:rPr>
            </w:pPr>
            <w:r>
              <w:rPr>
                <w:b/>
                <w:bCs/>
              </w:rPr>
              <w:t>кредиторская задолженность</w:t>
            </w:r>
          </w:p>
        </w:tc>
        <w:tc>
          <w:tcPr>
            <w:tcW w:w="1370" w:type="dxa"/>
            <w:tcBorders>
              <w:top w:val="single" w:sz="8" w:space="0" w:color="000000"/>
              <w:bottom w:val="single" w:sz="4" w:space="0" w:color="000000"/>
              <w:end w:val="single" w:sz="4" w:space="0" w:color="000000"/>
            </w:tcBorders>
            <w:vAlign w:val="center"/>
          </w:tcPr>
          <w:p>
            <w:pPr>
              <w:pStyle w:val="Normal"/>
              <w:jc w:val="center"/>
              <w:rPr>
                <w:b/>
                <w:bCs/>
              </w:rPr>
            </w:pPr>
            <w:r>
              <w:rPr>
                <w:b/>
                <w:bCs/>
              </w:rPr>
              <w:t>2024 год</w:t>
            </w:r>
          </w:p>
        </w:tc>
        <w:tc>
          <w:tcPr>
            <w:tcW w:w="1715" w:type="dxa"/>
            <w:tcBorders>
              <w:top w:val="single" w:sz="8" w:space="0" w:color="000000"/>
              <w:bottom w:val="single" w:sz="4" w:space="0" w:color="000000"/>
              <w:end w:val="single" w:sz="4" w:space="0" w:color="000000"/>
            </w:tcBorders>
            <w:vAlign w:val="center"/>
          </w:tcPr>
          <w:p>
            <w:pPr>
              <w:pStyle w:val="Normal"/>
              <w:jc w:val="center"/>
              <w:rPr>
                <w:b/>
                <w:bCs/>
              </w:rPr>
            </w:pPr>
            <w:r>
              <w:rPr>
                <w:b/>
                <w:bCs/>
              </w:rPr>
              <w:t>кредиторская задолженность</w:t>
            </w:r>
          </w:p>
        </w:tc>
        <w:tc>
          <w:tcPr>
            <w:tcW w:w="1971" w:type="dxa"/>
            <w:tcBorders>
              <w:top w:val="single" w:sz="8" w:space="0" w:color="000000"/>
              <w:bottom w:val="single" w:sz="4" w:space="0" w:color="000000"/>
              <w:end w:val="single" w:sz="8" w:space="0" w:color="000000"/>
            </w:tcBorders>
            <w:vAlign w:val="bottom"/>
          </w:tcPr>
          <w:p>
            <w:pPr>
              <w:pStyle w:val="Normal"/>
              <w:rPr>
                <w:b/>
                <w:bCs/>
              </w:rPr>
            </w:pPr>
            <w:r>
              <w:rPr>
                <w:b/>
                <w:bCs/>
              </w:rPr>
              <w:t>Сроки осуществления расчетов</w:t>
            </w:r>
          </w:p>
        </w:tc>
      </w:tr>
      <w:tr>
        <w:trPr>
          <w:trHeight w:val="645" w:hRule="atLeast"/>
        </w:trPr>
        <w:tc>
          <w:tcPr>
            <w:tcW w:w="1942" w:type="dxa"/>
            <w:tcBorders>
              <w:start w:val="single" w:sz="8" w:space="0" w:color="000000"/>
              <w:bottom w:val="single" w:sz="4" w:space="0" w:color="000000"/>
              <w:end w:val="single" w:sz="4" w:space="0" w:color="000000"/>
            </w:tcBorders>
            <w:vAlign w:val="center"/>
          </w:tcPr>
          <w:p>
            <w:pPr>
              <w:pStyle w:val="Normal"/>
              <w:jc w:val="both"/>
              <w:rPr/>
            </w:pPr>
            <w:r>
              <w:rPr/>
              <w:t>Права на использование ТЗ и ТУ</w:t>
            </w:r>
          </w:p>
        </w:tc>
        <w:tc>
          <w:tcPr>
            <w:tcW w:w="1500" w:type="dxa"/>
            <w:tcBorders>
              <w:bottom w:val="single" w:sz="4" w:space="0" w:color="000000"/>
              <w:end w:val="single" w:sz="4" w:space="0" w:color="000000"/>
            </w:tcBorders>
            <w:vAlign w:val="center"/>
          </w:tcPr>
          <w:p>
            <w:pPr>
              <w:pStyle w:val="Normal"/>
              <w:snapToGrid w:val="false"/>
              <w:jc w:val="end"/>
              <w:rPr/>
            </w:pPr>
            <w:r>
              <w:rPr/>
              <w:t>10 127</w:t>
            </w:r>
          </w:p>
        </w:tc>
        <w:tc>
          <w:tcPr>
            <w:tcW w:w="1567" w:type="dxa"/>
            <w:tcBorders>
              <w:bottom w:val="single" w:sz="4" w:space="0" w:color="000000"/>
              <w:end w:val="single" w:sz="4" w:space="0" w:color="000000"/>
            </w:tcBorders>
            <w:vAlign w:val="center"/>
          </w:tcPr>
          <w:p>
            <w:pPr>
              <w:pStyle w:val="Normal"/>
              <w:snapToGrid w:val="false"/>
              <w:jc w:val="end"/>
              <w:rPr/>
            </w:pPr>
            <w:r>
              <w:rPr/>
              <w:t>3494</w:t>
            </w:r>
          </w:p>
        </w:tc>
        <w:tc>
          <w:tcPr>
            <w:tcW w:w="1370" w:type="dxa"/>
            <w:tcBorders>
              <w:bottom w:val="single" w:sz="4" w:space="0" w:color="000000"/>
              <w:end w:val="single" w:sz="4" w:space="0" w:color="000000"/>
            </w:tcBorders>
            <w:vAlign w:val="center"/>
          </w:tcPr>
          <w:p>
            <w:pPr>
              <w:pStyle w:val="Normal"/>
              <w:snapToGrid w:val="false"/>
              <w:jc w:val="end"/>
              <w:rPr/>
            </w:pPr>
            <w:r>
              <w:rPr/>
              <w:t>10 320</w:t>
            </w:r>
          </w:p>
        </w:tc>
        <w:tc>
          <w:tcPr>
            <w:tcW w:w="1715" w:type="dxa"/>
            <w:tcBorders>
              <w:bottom w:val="single" w:sz="4" w:space="0" w:color="000000"/>
              <w:end w:val="single" w:sz="4" w:space="0" w:color="000000"/>
            </w:tcBorders>
            <w:vAlign w:val="center"/>
          </w:tcPr>
          <w:p>
            <w:pPr>
              <w:pStyle w:val="Normal"/>
              <w:snapToGrid w:val="false"/>
              <w:jc w:val="end"/>
              <w:rPr/>
            </w:pPr>
            <w:r>
              <w:rPr/>
              <w:t>2 615</w:t>
            </w:r>
          </w:p>
        </w:tc>
        <w:tc>
          <w:tcPr>
            <w:tcW w:w="1971" w:type="dxa"/>
            <w:tcBorders>
              <w:bottom w:val="single" w:sz="4" w:space="0" w:color="000000"/>
              <w:end w:val="single" w:sz="8" w:space="0" w:color="000000"/>
            </w:tcBorders>
            <w:vAlign w:val="center"/>
          </w:tcPr>
          <w:p>
            <w:pPr>
              <w:pStyle w:val="Normal"/>
              <w:jc w:val="both"/>
              <w:rPr/>
            </w:pPr>
            <w:r>
              <w:rPr/>
              <w:t>Ежеквартально, до 25-го числа месяца, следующего за отчетным</w:t>
            </w:r>
          </w:p>
        </w:tc>
      </w:tr>
      <w:tr>
        <w:trPr>
          <w:trHeight w:val="450" w:hRule="atLeast"/>
        </w:trPr>
        <w:tc>
          <w:tcPr>
            <w:tcW w:w="1942" w:type="dxa"/>
            <w:tcBorders>
              <w:start w:val="single" w:sz="8" w:space="0" w:color="000000"/>
              <w:bottom w:val="single" w:sz="4" w:space="0" w:color="000000"/>
              <w:end w:val="single" w:sz="4" w:space="0" w:color="000000"/>
            </w:tcBorders>
            <w:vAlign w:val="center"/>
          </w:tcPr>
          <w:p>
            <w:pPr>
              <w:pStyle w:val="Normal"/>
              <w:jc w:val="both"/>
              <w:rPr/>
            </w:pPr>
            <w:r>
              <w:rPr/>
              <w:t>Поставка оборудования</w:t>
            </w:r>
          </w:p>
        </w:tc>
        <w:tc>
          <w:tcPr>
            <w:tcW w:w="1500" w:type="dxa"/>
            <w:tcBorders>
              <w:bottom w:val="single" w:sz="4" w:space="0" w:color="000000"/>
              <w:end w:val="single" w:sz="4" w:space="0" w:color="000000"/>
            </w:tcBorders>
            <w:vAlign w:val="center"/>
          </w:tcPr>
          <w:p>
            <w:pPr>
              <w:pStyle w:val="Normal"/>
              <w:snapToGrid w:val="false"/>
              <w:jc w:val="end"/>
              <w:rPr/>
            </w:pPr>
            <w:r>
              <w:rPr/>
              <w:t>-84</w:t>
            </w:r>
          </w:p>
        </w:tc>
        <w:tc>
          <w:tcPr>
            <w:tcW w:w="1567" w:type="dxa"/>
            <w:tcBorders>
              <w:bottom w:val="single" w:sz="4" w:space="0" w:color="000000"/>
              <w:end w:val="single" w:sz="4" w:space="0" w:color="000000"/>
            </w:tcBorders>
            <w:vAlign w:val="center"/>
          </w:tcPr>
          <w:p>
            <w:pPr>
              <w:pStyle w:val="Normal"/>
              <w:snapToGrid w:val="false"/>
              <w:jc w:val="end"/>
              <w:rPr/>
            </w:pPr>
            <w:r>
              <w:rPr/>
              <w:t>1343</w:t>
            </w:r>
          </w:p>
        </w:tc>
        <w:tc>
          <w:tcPr>
            <w:tcW w:w="1370" w:type="dxa"/>
            <w:tcBorders>
              <w:bottom w:val="single" w:sz="4" w:space="0" w:color="000000"/>
              <w:end w:val="single" w:sz="4" w:space="0" w:color="000000"/>
            </w:tcBorders>
            <w:vAlign w:val="center"/>
          </w:tcPr>
          <w:p>
            <w:pPr>
              <w:pStyle w:val="Normal"/>
              <w:snapToGrid w:val="false"/>
              <w:jc w:val="end"/>
              <w:rPr/>
            </w:pPr>
            <w:r>
              <w:rPr/>
              <w:t>5 858</w:t>
            </w:r>
          </w:p>
        </w:tc>
        <w:tc>
          <w:tcPr>
            <w:tcW w:w="1715" w:type="dxa"/>
            <w:tcBorders>
              <w:bottom w:val="single" w:sz="4" w:space="0" w:color="000000"/>
              <w:end w:val="single" w:sz="4" w:space="0" w:color="000000"/>
            </w:tcBorders>
            <w:vAlign w:val="center"/>
          </w:tcPr>
          <w:p>
            <w:pPr>
              <w:pStyle w:val="Normal"/>
              <w:snapToGrid w:val="false"/>
              <w:jc w:val="end"/>
              <w:rPr/>
            </w:pPr>
            <w:r>
              <w:rPr/>
              <w:t>7 191</w:t>
            </w:r>
          </w:p>
        </w:tc>
        <w:tc>
          <w:tcPr>
            <w:tcW w:w="1971" w:type="dxa"/>
            <w:tcBorders>
              <w:bottom w:val="single" w:sz="4" w:space="0" w:color="000000"/>
              <w:end w:val="single" w:sz="8" w:space="0" w:color="000000"/>
            </w:tcBorders>
            <w:vAlign w:val="center"/>
          </w:tcPr>
          <w:p>
            <w:pPr>
              <w:pStyle w:val="Normal"/>
              <w:jc w:val="both"/>
              <w:rPr/>
            </w:pPr>
            <w:r>
              <w:rPr/>
              <w:t>20 банковских дней с даты поставки</w:t>
            </w:r>
          </w:p>
        </w:tc>
      </w:tr>
      <w:tr>
        <w:trPr>
          <w:trHeight w:val="450" w:hRule="atLeast"/>
        </w:trPr>
        <w:tc>
          <w:tcPr>
            <w:tcW w:w="1942" w:type="dxa"/>
            <w:tcBorders>
              <w:start w:val="single" w:sz="8" w:space="0" w:color="000000"/>
              <w:bottom w:val="single" w:sz="4" w:space="0" w:color="000000"/>
              <w:end w:val="single" w:sz="4" w:space="0" w:color="000000"/>
            </w:tcBorders>
            <w:vAlign w:val="center"/>
          </w:tcPr>
          <w:p>
            <w:pPr>
              <w:pStyle w:val="Normal"/>
              <w:jc w:val="both"/>
              <w:rPr/>
            </w:pPr>
            <w:r>
              <w:rPr/>
              <w:t>Поставка сырья и вспомогательных материалов</w:t>
            </w:r>
          </w:p>
        </w:tc>
        <w:tc>
          <w:tcPr>
            <w:tcW w:w="1500" w:type="dxa"/>
            <w:tcBorders>
              <w:bottom w:val="single" w:sz="4" w:space="0" w:color="000000"/>
              <w:end w:val="single" w:sz="4" w:space="0" w:color="000000"/>
            </w:tcBorders>
            <w:vAlign w:val="center"/>
          </w:tcPr>
          <w:p>
            <w:pPr>
              <w:pStyle w:val="Normal"/>
              <w:snapToGrid w:val="false"/>
              <w:jc w:val="end"/>
              <w:rPr/>
            </w:pPr>
            <w:r>
              <w:rPr/>
              <w:t>296 665</w:t>
            </w:r>
          </w:p>
        </w:tc>
        <w:tc>
          <w:tcPr>
            <w:tcW w:w="1567" w:type="dxa"/>
            <w:tcBorders>
              <w:bottom w:val="single" w:sz="4" w:space="0" w:color="000000"/>
              <w:end w:val="single" w:sz="4" w:space="0" w:color="000000"/>
            </w:tcBorders>
            <w:vAlign w:val="center"/>
          </w:tcPr>
          <w:p>
            <w:pPr>
              <w:pStyle w:val="Normal"/>
              <w:snapToGrid w:val="false"/>
              <w:jc w:val="end"/>
              <w:rPr/>
            </w:pPr>
            <w:r>
              <w:rPr/>
              <w:t>188 059</w:t>
            </w:r>
          </w:p>
        </w:tc>
        <w:tc>
          <w:tcPr>
            <w:tcW w:w="1370" w:type="dxa"/>
            <w:tcBorders>
              <w:bottom w:val="single" w:sz="4" w:space="0" w:color="000000"/>
              <w:end w:val="single" w:sz="4" w:space="0" w:color="000000"/>
            </w:tcBorders>
            <w:vAlign w:val="center"/>
          </w:tcPr>
          <w:p>
            <w:pPr>
              <w:pStyle w:val="Normal"/>
              <w:snapToGrid w:val="false"/>
              <w:jc w:val="end"/>
              <w:rPr/>
            </w:pPr>
            <w:r>
              <w:rPr/>
              <w:t>172 776</w:t>
            </w:r>
          </w:p>
        </w:tc>
        <w:tc>
          <w:tcPr>
            <w:tcW w:w="1715" w:type="dxa"/>
            <w:tcBorders>
              <w:bottom w:val="single" w:sz="4" w:space="0" w:color="000000"/>
              <w:end w:val="single" w:sz="4" w:space="0" w:color="000000"/>
            </w:tcBorders>
            <w:vAlign w:val="center"/>
          </w:tcPr>
          <w:p>
            <w:pPr>
              <w:pStyle w:val="Normal"/>
              <w:snapToGrid w:val="false"/>
              <w:jc w:val="end"/>
              <w:rPr/>
            </w:pPr>
            <w:r>
              <w:rPr/>
              <w:t>85 056</w:t>
            </w:r>
          </w:p>
        </w:tc>
        <w:tc>
          <w:tcPr>
            <w:tcW w:w="1971" w:type="dxa"/>
            <w:tcBorders>
              <w:bottom w:val="single" w:sz="4" w:space="0" w:color="000000"/>
              <w:end w:val="single" w:sz="8" w:space="0" w:color="000000"/>
            </w:tcBorders>
            <w:vAlign w:val="center"/>
          </w:tcPr>
          <w:p>
            <w:pPr>
              <w:pStyle w:val="Normal"/>
              <w:jc w:val="both"/>
              <w:rPr/>
            </w:pPr>
            <w:r>
              <w:rPr/>
              <w:t>От 5 до 20 банковских дней с даты поставки</w:t>
            </w:r>
          </w:p>
        </w:tc>
      </w:tr>
      <w:tr>
        <w:trPr>
          <w:trHeight w:val="675" w:hRule="atLeast"/>
        </w:trPr>
        <w:tc>
          <w:tcPr>
            <w:tcW w:w="1942" w:type="dxa"/>
            <w:tcBorders>
              <w:start w:val="single" w:sz="8" w:space="0" w:color="000000"/>
              <w:bottom w:val="single" w:sz="4" w:space="0" w:color="000000"/>
              <w:end w:val="single" w:sz="4" w:space="0" w:color="000000"/>
            </w:tcBorders>
            <w:vAlign w:val="center"/>
          </w:tcPr>
          <w:p>
            <w:pPr>
              <w:pStyle w:val="Normal"/>
              <w:rPr/>
            </w:pPr>
            <w:r>
              <w:rPr/>
              <w:t>Поставка товара</w:t>
            </w:r>
          </w:p>
        </w:tc>
        <w:tc>
          <w:tcPr>
            <w:tcW w:w="1500" w:type="dxa"/>
            <w:tcBorders>
              <w:bottom w:val="single" w:sz="4" w:space="0" w:color="000000"/>
              <w:end w:val="single" w:sz="4" w:space="0" w:color="000000"/>
            </w:tcBorders>
            <w:vAlign w:val="center"/>
          </w:tcPr>
          <w:p>
            <w:pPr>
              <w:pStyle w:val="Normal"/>
              <w:snapToGrid w:val="false"/>
              <w:jc w:val="end"/>
              <w:rPr/>
            </w:pPr>
            <w:r>
              <w:rPr/>
              <w:t>121 779</w:t>
            </w:r>
          </w:p>
        </w:tc>
        <w:tc>
          <w:tcPr>
            <w:tcW w:w="1567" w:type="dxa"/>
            <w:tcBorders>
              <w:bottom w:val="single" w:sz="4" w:space="0" w:color="000000"/>
              <w:end w:val="single" w:sz="4" w:space="0" w:color="000000"/>
            </w:tcBorders>
            <w:vAlign w:val="center"/>
          </w:tcPr>
          <w:p>
            <w:pPr>
              <w:pStyle w:val="Normal"/>
              <w:snapToGrid w:val="false"/>
              <w:jc w:val="end"/>
              <w:rPr/>
            </w:pPr>
            <w:r>
              <w:rPr/>
              <w:t>194 932</w:t>
            </w:r>
          </w:p>
        </w:tc>
        <w:tc>
          <w:tcPr>
            <w:tcW w:w="1370" w:type="dxa"/>
            <w:tcBorders>
              <w:bottom w:val="single" w:sz="4" w:space="0" w:color="000000"/>
              <w:end w:val="single" w:sz="4" w:space="0" w:color="000000"/>
            </w:tcBorders>
            <w:vAlign w:val="center"/>
          </w:tcPr>
          <w:p>
            <w:pPr>
              <w:pStyle w:val="Normal"/>
              <w:snapToGrid w:val="false"/>
              <w:jc w:val="end"/>
              <w:rPr/>
            </w:pPr>
            <w:r>
              <w:rPr/>
              <w:t>131 007</w:t>
            </w:r>
          </w:p>
        </w:tc>
        <w:tc>
          <w:tcPr>
            <w:tcW w:w="1715" w:type="dxa"/>
            <w:tcBorders>
              <w:bottom w:val="single" w:sz="4" w:space="0" w:color="000000"/>
              <w:end w:val="single" w:sz="4" w:space="0" w:color="000000"/>
            </w:tcBorders>
            <w:vAlign w:val="center"/>
          </w:tcPr>
          <w:p>
            <w:pPr>
              <w:pStyle w:val="Normal"/>
              <w:snapToGrid w:val="false"/>
              <w:jc w:val="end"/>
              <w:rPr/>
            </w:pPr>
            <w:r>
              <w:rPr/>
              <w:t>124 007</w:t>
            </w:r>
          </w:p>
        </w:tc>
        <w:tc>
          <w:tcPr>
            <w:tcW w:w="1971" w:type="dxa"/>
            <w:tcBorders>
              <w:bottom w:val="single" w:sz="4" w:space="0" w:color="000000"/>
              <w:end w:val="single" w:sz="8" w:space="0" w:color="000000"/>
            </w:tcBorders>
            <w:vAlign w:val="center"/>
          </w:tcPr>
          <w:p>
            <w:pPr>
              <w:pStyle w:val="Normal"/>
              <w:jc w:val="both"/>
              <w:rPr/>
            </w:pPr>
            <w:r>
              <w:rPr/>
              <w:t>От 20 календарных дней до 60 рабочих дней с даты отгрузки</w:t>
            </w:r>
          </w:p>
        </w:tc>
      </w:tr>
      <w:tr>
        <w:trPr>
          <w:trHeight w:val="450" w:hRule="atLeast"/>
        </w:trPr>
        <w:tc>
          <w:tcPr>
            <w:tcW w:w="1942" w:type="dxa"/>
            <w:tcBorders>
              <w:start w:val="single" w:sz="8" w:space="0" w:color="000000"/>
              <w:bottom w:val="single" w:sz="4" w:space="0" w:color="000000"/>
              <w:end w:val="single" w:sz="4" w:space="0" w:color="000000"/>
            </w:tcBorders>
            <w:vAlign w:val="center"/>
          </w:tcPr>
          <w:p>
            <w:pPr>
              <w:pStyle w:val="Normal"/>
              <w:rPr/>
            </w:pPr>
            <w:r>
              <w:rPr/>
              <w:t>Прочие услуги</w:t>
            </w:r>
          </w:p>
        </w:tc>
        <w:tc>
          <w:tcPr>
            <w:tcW w:w="1500" w:type="dxa"/>
            <w:tcBorders>
              <w:bottom w:val="single" w:sz="4" w:space="0" w:color="000000"/>
              <w:end w:val="single" w:sz="4" w:space="0" w:color="000000"/>
            </w:tcBorders>
            <w:vAlign w:val="center"/>
          </w:tcPr>
          <w:p>
            <w:pPr>
              <w:pStyle w:val="Normal"/>
              <w:snapToGrid w:val="false"/>
              <w:jc w:val="end"/>
              <w:rPr/>
            </w:pPr>
            <w:r>
              <w:rPr/>
              <w:t>682</w:t>
            </w:r>
          </w:p>
        </w:tc>
        <w:tc>
          <w:tcPr>
            <w:tcW w:w="1567" w:type="dxa"/>
            <w:tcBorders>
              <w:bottom w:val="single" w:sz="4" w:space="0" w:color="000000"/>
              <w:end w:val="single" w:sz="4" w:space="0" w:color="000000"/>
            </w:tcBorders>
            <w:vAlign w:val="center"/>
          </w:tcPr>
          <w:p>
            <w:pPr>
              <w:pStyle w:val="Normal"/>
              <w:snapToGrid w:val="false"/>
              <w:jc w:val="end"/>
              <w:rPr/>
            </w:pPr>
            <w:r>
              <w:rPr/>
              <w:t>58</w:t>
            </w:r>
          </w:p>
        </w:tc>
        <w:tc>
          <w:tcPr>
            <w:tcW w:w="1370" w:type="dxa"/>
            <w:tcBorders>
              <w:bottom w:val="single" w:sz="4" w:space="0" w:color="000000"/>
              <w:end w:val="single" w:sz="4" w:space="0" w:color="000000"/>
            </w:tcBorders>
            <w:vAlign w:val="center"/>
          </w:tcPr>
          <w:p>
            <w:pPr>
              <w:pStyle w:val="Normal"/>
              <w:snapToGrid w:val="false"/>
              <w:jc w:val="end"/>
              <w:rPr/>
            </w:pPr>
            <w:r>
              <w:rPr/>
              <w:t>380</w:t>
            </w:r>
          </w:p>
        </w:tc>
        <w:tc>
          <w:tcPr>
            <w:tcW w:w="1715" w:type="dxa"/>
            <w:tcBorders>
              <w:bottom w:val="single" w:sz="4" w:space="0" w:color="000000"/>
              <w:end w:val="single" w:sz="4" w:space="0" w:color="000000"/>
            </w:tcBorders>
            <w:vAlign w:val="center"/>
          </w:tcPr>
          <w:p>
            <w:pPr>
              <w:pStyle w:val="Normal"/>
              <w:snapToGrid w:val="false"/>
              <w:jc w:val="end"/>
              <w:rPr/>
            </w:pPr>
            <w:r>
              <w:rPr/>
              <w:t>44</w:t>
            </w:r>
          </w:p>
        </w:tc>
        <w:tc>
          <w:tcPr>
            <w:tcW w:w="1971" w:type="dxa"/>
            <w:tcBorders>
              <w:bottom w:val="single" w:sz="4" w:space="0" w:color="000000"/>
              <w:end w:val="single" w:sz="8" w:space="0" w:color="000000"/>
            </w:tcBorders>
            <w:vAlign w:val="center"/>
          </w:tcPr>
          <w:p>
            <w:pPr>
              <w:pStyle w:val="Normal"/>
              <w:jc w:val="both"/>
              <w:rPr/>
            </w:pPr>
            <w:r>
              <w:rPr/>
              <w:t>20 банковских дней с даты поставки</w:t>
            </w:r>
          </w:p>
        </w:tc>
      </w:tr>
      <w:tr>
        <w:trPr>
          <w:trHeight w:val="450" w:hRule="atLeast"/>
        </w:trPr>
        <w:tc>
          <w:tcPr>
            <w:tcW w:w="1942" w:type="dxa"/>
            <w:tcBorders>
              <w:start w:val="single" w:sz="8" w:space="0" w:color="000000"/>
              <w:bottom w:val="single" w:sz="4" w:space="0" w:color="000000"/>
              <w:end w:val="single" w:sz="4" w:space="0" w:color="000000"/>
            </w:tcBorders>
            <w:vAlign w:val="center"/>
          </w:tcPr>
          <w:p>
            <w:pPr>
              <w:pStyle w:val="Normal"/>
              <w:rPr/>
            </w:pPr>
            <w:r>
              <w:rPr/>
              <w:t>Работы по исследованиям (испытаниям) и измерениям</w:t>
            </w:r>
          </w:p>
        </w:tc>
        <w:tc>
          <w:tcPr>
            <w:tcW w:w="1500" w:type="dxa"/>
            <w:tcBorders>
              <w:bottom w:val="single" w:sz="4" w:space="0" w:color="000000"/>
              <w:end w:val="single" w:sz="4" w:space="0" w:color="000000"/>
            </w:tcBorders>
            <w:vAlign w:val="center"/>
          </w:tcPr>
          <w:p>
            <w:pPr>
              <w:pStyle w:val="Normal"/>
              <w:snapToGrid w:val="false"/>
              <w:jc w:val="end"/>
              <w:rPr/>
            </w:pPr>
            <w:r>
              <w:rPr/>
              <w:t>0</w:t>
            </w:r>
          </w:p>
        </w:tc>
        <w:tc>
          <w:tcPr>
            <w:tcW w:w="1567" w:type="dxa"/>
            <w:tcBorders>
              <w:bottom w:val="single" w:sz="4" w:space="0" w:color="000000"/>
              <w:end w:val="single" w:sz="4" w:space="0" w:color="000000"/>
            </w:tcBorders>
            <w:vAlign w:val="center"/>
          </w:tcPr>
          <w:p>
            <w:pPr>
              <w:pStyle w:val="Normal"/>
              <w:snapToGrid w:val="false"/>
              <w:jc w:val="end"/>
              <w:rPr/>
            </w:pPr>
            <w:r>
              <w:rPr/>
              <w:t>0</w:t>
            </w:r>
          </w:p>
        </w:tc>
        <w:tc>
          <w:tcPr>
            <w:tcW w:w="1370" w:type="dxa"/>
            <w:tcBorders>
              <w:bottom w:val="single" w:sz="4" w:space="0" w:color="000000"/>
              <w:end w:val="single" w:sz="4" w:space="0" w:color="000000"/>
            </w:tcBorders>
            <w:vAlign w:val="center"/>
          </w:tcPr>
          <w:p>
            <w:pPr>
              <w:pStyle w:val="Normal"/>
              <w:snapToGrid w:val="false"/>
              <w:jc w:val="end"/>
              <w:rPr/>
            </w:pPr>
            <w:r>
              <w:rPr/>
              <w:t>35</w:t>
            </w:r>
          </w:p>
        </w:tc>
        <w:tc>
          <w:tcPr>
            <w:tcW w:w="1715" w:type="dxa"/>
            <w:tcBorders>
              <w:bottom w:val="single" w:sz="4" w:space="0" w:color="000000"/>
              <w:end w:val="single" w:sz="4" w:space="0" w:color="000000"/>
            </w:tcBorders>
            <w:vAlign w:val="center"/>
          </w:tcPr>
          <w:p>
            <w:pPr>
              <w:pStyle w:val="Normal"/>
              <w:snapToGrid w:val="false"/>
              <w:jc w:val="end"/>
              <w:rPr/>
            </w:pPr>
            <w:r>
              <w:rPr/>
              <w:t>0</w:t>
            </w:r>
          </w:p>
        </w:tc>
        <w:tc>
          <w:tcPr>
            <w:tcW w:w="1971" w:type="dxa"/>
            <w:tcBorders>
              <w:bottom w:val="single" w:sz="4" w:space="0" w:color="000000"/>
              <w:end w:val="single" w:sz="8" w:space="0" w:color="000000"/>
            </w:tcBorders>
            <w:vAlign w:val="center"/>
          </w:tcPr>
          <w:p>
            <w:pPr>
              <w:pStyle w:val="Normal"/>
              <w:jc w:val="both"/>
              <w:rPr/>
            </w:pPr>
            <w:r>
              <w:rPr/>
              <w:t>Предоплата</w:t>
            </w:r>
          </w:p>
        </w:tc>
      </w:tr>
      <w:tr>
        <w:trPr>
          <w:trHeight w:val="450" w:hRule="atLeast"/>
        </w:trPr>
        <w:tc>
          <w:tcPr>
            <w:tcW w:w="1942" w:type="dxa"/>
            <w:tcBorders>
              <w:start w:val="single" w:sz="8" w:space="0" w:color="000000"/>
              <w:bottom w:val="single" w:sz="4" w:space="0" w:color="000000"/>
              <w:end w:val="single" w:sz="4" w:space="0" w:color="000000"/>
            </w:tcBorders>
            <w:vAlign w:val="center"/>
          </w:tcPr>
          <w:p>
            <w:pPr>
              <w:pStyle w:val="Normal"/>
              <w:rPr/>
            </w:pPr>
            <w:r>
              <w:rPr/>
              <w:t>Поставка электроэнергии</w:t>
            </w:r>
          </w:p>
        </w:tc>
        <w:tc>
          <w:tcPr>
            <w:tcW w:w="1500" w:type="dxa"/>
            <w:tcBorders>
              <w:bottom w:val="single" w:sz="4" w:space="0" w:color="000000"/>
              <w:end w:val="single" w:sz="4" w:space="0" w:color="000000"/>
            </w:tcBorders>
            <w:vAlign w:val="center"/>
          </w:tcPr>
          <w:p>
            <w:pPr>
              <w:pStyle w:val="Normal"/>
              <w:snapToGrid w:val="false"/>
              <w:jc w:val="end"/>
              <w:rPr/>
            </w:pPr>
            <w:r>
              <w:rPr/>
              <w:t>20 488</w:t>
            </w:r>
          </w:p>
        </w:tc>
        <w:tc>
          <w:tcPr>
            <w:tcW w:w="1567" w:type="dxa"/>
            <w:tcBorders>
              <w:bottom w:val="single" w:sz="4" w:space="0" w:color="000000"/>
              <w:end w:val="single" w:sz="4" w:space="0" w:color="000000"/>
            </w:tcBorders>
            <w:vAlign w:val="center"/>
          </w:tcPr>
          <w:p>
            <w:pPr>
              <w:pStyle w:val="Normal"/>
              <w:snapToGrid w:val="false"/>
              <w:jc w:val="end"/>
              <w:rPr/>
            </w:pPr>
            <w:r>
              <w:rPr/>
              <w:t>0</w:t>
            </w:r>
          </w:p>
        </w:tc>
        <w:tc>
          <w:tcPr>
            <w:tcW w:w="1370" w:type="dxa"/>
            <w:tcBorders>
              <w:bottom w:val="single" w:sz="4" w:space="0" w:color="000000"/>
              <w:end w:val="single" w:sz="4" w:space="0" w:color="000000"/>
            </w:tcBorders>
            <w:vAlign w:val="center"/>
          </w:tcPr>
          <w:p>
            <w:pPr>
              <w:pStyle w:val="Normal"/>
              <w:snapToGrid w:val="false"/>
              <w:jc w:val="end"/>
              <w:rPr/>
            </w:pPr>
            <w:r>
              <w:rPr/>
              <w:t>13 726</w:t>
            </w:r>
          </w:p>
        </w:tc>
        <w:tc>
          <w:tcPr>
            <w:tcW w:w="1715" w:type="dxa"/>
            <w:tcBorders>
              <w:bottom w:val="single" w:sz="4" w:space="0" w:color="000000"/>
              <w:end w:val="single" w:sz="4" w:space="0" w:color="000000"/>
            </w:tcBorders>
            <w:vAlign w:val="center"/>
          </w:tcPr>
          <w:p>
            <w:pPr>
              <w:pStyle w:val="Normal"/>
              <w:snapToGrid w:val="false"/>
              <w:jc w:val="end"/>
              <w:rPr/>
            </w:pPr>
            <w:r>
              <w:rPr/>
              <w:t>0</w:t>
            </w:r>
          </w:p>
        </w:tc>
        <w:tc>
          <w:tcPr>
            <w:tcW w:w="1971" w:type="dxa"/>
            <w:tcBorders>
              <w:bottom w:val="single" w:sz="4" w:space="0" w:color="000000"/>
              <w:end w:val="single" w:sz="8" w:space="0" w:color="000000"/>
            </w:tcBorders>
            <w:vAlign w:val="center"/>
          </w:tcPr>
          <w:p>
            <w:pPr>
              <w:pStyle w:val="Normal"/>
              <w:jc w:val="both"/>
              <w:rPr>
                <w:lang w:eastAsia="en-US"/>
              </w:rPr>
            </w:pPr>
            <w:r>
              <w:rPr>
                <w:lang w:eastAsia="en-US"/>
              </w:rPr>
              <w:t>Предоплата до 20 числа расчетного месяца</w:t>
            </w:r>
          </w:p>
        </w:tc>
      </w:tr>
      <w:tr>
        <w:trPr>
          <w:trHeight w:val="300" w:hRule="atLeast"/>
        </w:trPr>
        <w:tc>
          <w:tcPr>
            <w:tcW w:w="1942" w:type="dxa"/>
            <w:tcBorders>
              <w:start w:val="single" w:sz="8" w:space="0" w:color="000000"/>
              <w:bottom w:val="single" w:sz="4" w:space="0" w:color="000000"/>
              <w:end w:val="single" w:sz="4" w:space="0" w:color="000000"/>
            </w:tcBorders>
            <w:vAlign w:val="center"/>
          </w:tcPr>
          <w:p>
            <w:pPr>
              <w:pStyle w:val="Normal"/>
              <w:rPr/>
            </w:pPr>
            <w:r>
              <w:rPr/>
              <w:t>страхование</w:t>
            </w:r>
          </w:p>
        </w:tc>
        <w:tc>
          <w:tcPr>
            <w:tcW w:w="1500" w:type="dxa"/>
            <w:tcBorders>
              <w:bottom w:val="single" w:sz="4" w:space="0" w:color="000000"/>
              <w:end w:val="single" w:sz="4" w:space="0" w:color="000000"/>
            </w:tcBorders>
            <w:vAlign w:val="center"/>
          </w:tcPr>
          <w:p>
            <w:pPr>
              <w:pStyle w:val="Normal"/>
              <w:snapToGrid w:val="false"/>
              <w:jc w:val="end"/>
              <w:rPr/>
            </w:pPr>
            <w:r>
              <w:rPr/>
              <w:t>808</w:t>
            </w:r>
          </w:p>
        </w:tc>
        <w:tc>
          <w:tcPr>
            <w:tcW w:w="1567" w:type="dxa"/>
            <w:tcBorders>
              <w:bottom w:val="single" w:sz="4" w:space="0" w:color="000000"/>
              <w:end w:val="single" w:sz="4" w:space="0" w:color="000000"/>
            </w:tcBorders>
            <w:vAlign w:val="center"/>
          </w:tcPr>
          <w:p>
            <w:pPr>
              <w:pStyle w:val="Normal"/>
              <w:snapToGrid w:val="false"/>
              <w:jc w:val="end"/>
              <w:rPr/>
            </w:pPr>
            <w:r>
              <w:rPr/>
              <w:t>0</w:t>
            </w:r>
          </w:p>
        </w:tc>
        <w:tc>
          <w:tcPr>
            <w:tcW w:w="1370" w:type="dxa"/>
            <w:tcBorders>
              <w:bottom w:val="single" w:sz="4" w:space="0" w:color="000000"/>
              <w:end w:val="single" w:sz="4" w:space="0" w:color="000000"/>
            </w:tcBorders>
            <w:vAlign w:val="center"/>
          </w:tcPr>
          <w:p>
            <w:pPr>
              <w:pStyle w:val="Normal"/>
              <w:snapToGrid w:val="false"/>
              <w:jc w:val="end"/>
              <w:rPr/>
            </w:pPr>
            <w:r>
              <w:rPr/>
              <w:t>862</w:t>
            </w:r>
          </w:p>
        </w:tc>
        <w:tc>
          <w:tcPr>
            <w:tcW w:w="1715" w:type="dxa"/>
            <w:tcBorders>
              <w:bottom w:val="single" w:sz="4" w:space="0" w:color="000000"/>
              <w:end w:val="single" w:sz="4" w:space="0" w:color="000000"/>
            </w:tcBorders>
            <w:vAlign w:val="center"/>
          </w:tcPr>
          <w:p>
            <w:pPr>
              <w:pStyle w:val="Normal"/>
              <w:snapToGrid w:val="false"/>
              <w:jc w:val="end"/>
              <w:rPr/>
            </w:pPr>
            <w:r>
              <w:rPr/>
              <w:t>0</w:t>
            </w:r>
          </w:p>
        </w:tc>
        <w:tc>
          <w:tcPr>
            <w:tcW w:w="1971" w:type="dxa"/>
            <w:tcBorders>
              <w:bottom w:val="single" w:sz="4" w:space="0" w:color="000000"/>
              <w:end w:val="single" w:sz="8" w:space="0" w:color="000000"/>
            </w:tcBorders>
            <w:vAlign w:val="center"/>
          </w:tcPr>
          <w:p>
            <w:pPr>
              <w:pStyle w:val="Normal"/>
              <w:jc w:val="both"/>
              <w:rPr/>
            </w:pPr>
            <w:r>
              <w:rPr/>
              <w:t>Предоплата</w:t>
            </w:r>
          </w:p>
        </w:tc>
      </w:tr>
      <w:tr>
        <w:trPr>
          <w:trHeight w:val="600" w:hRule="atLeast"/>
        </w:trPr>
        <w:tc>
          <w:tcPr>
            <w:tcW w:w="1942" w:type="dxa"/>
            <w:tcBorders>
              <w:start w:val="single" w:sz="8" w:space="0" w:color="000000"/>
              <w:bottom w:val="single" w:sz="4" w:space="0" w:color="000000"/>
              <w:end w:val="single" w:sz="4" w:space="0" w:color="000000"/>
            </w:tcBorders>
            <w:vAlign w:val="center"/>
          </w:tcPr>
          <w:p>
            <w:pPr>
              <w:pStyle w:val="Normal"/>
              <w:rPr/>
            </w:pPr>
            <w:r>
              <w:rPr/>
              <w:t>Услуги управления</w:t>
            </w:r>
          </w:p>
        </w:tc>
        <w:tc>
          <w:tcPr>
            <w:tcW w:w="1500" w:type="dxa"/>
            <w:tcBorders>
              <w:bottom w:val="single" w:sz="4" w:space="0" w:color="000000"/>
              <w:end w:val="single" w:sz="4" w:space="0" w:color="000000"/>
            </w:tcBorders>
            <w:vAlign w:val="center"/>
          </w:tcPr>
          <w:p>
            <w:pPr>
              <w:pStyle w:val="Normal"/>
              <w:snapToGrid w:val="false"/>
              <w:jc w:val="end"/>
              <w:rPr/>
            </w:pPr>
            <w:r>
              <w:rPr/>
              <w:t>7 452</w:t>
            </w:r>
          </w:p>
        </w:tc>
        <w:tc>
          <w:tcPr>
            <w:tcW w:w="1567" w:type="dxa"/>
            <w:tcBorders>
              <w:bottom w:val="single" w:sz="4" w:space="0" w:color="000000"/>
              <w:end w:val="single" w:sz="4" w:space="0" w:color="000000"/>
            </w:tcBorders>
            <w:vAlign w:val="center"/>
          </w:tcPr>
          <w:p>
            <w:pPr>
              <w:pStyle w:val="Normal"/>
              <w:snapToGrid w:val="false"/>
              <w:jc w:val="end"/>
              <w:rPr/>
            </w:pPr>
            <w:r>
              <w:rPr/>
              <w:t>0</w:t>
            </w:r>
          </w:p>
        </w:tc>
        <w:tc>
          <w:tcPr>
            <w:tcW w:w="1370" w:type="dxa"/>
            <w:tcBorders>
              <w:bottom w:val="single" w:sz="4" w:space="0" w:color="000000"/>
              <w:end w:val="single" w:sz="4" w:space="0" w:color="000000"/>
            </w:tcBorders>
            <w:vAlign w:val="center"/>
          </w:tcPr>
          <w:p>
            <w:pPr>
              <w:pStyle w:val="Normal"/>
              <w:snapToGrid w:val="false"/>
              <w:jc w:val="end"/>
              <w:rPr/>
            </w:pPr>
            <w:r>
              <w:rPr/>
              <w:t>7 452</w:t>
            </w:r>
          </w:p>
        </w:tc>
        <w:tc>
          <w:tcPr>
            <w:tcW w:w="1715" w:type="dxa"/>
            <w:tcBorders>
              <w:bottom w:val="single" w:sz="4" w:space="0" w:color="000000"/>
              <w:end w:val="single" w:sz="4" w:space="0" w:color="000000"/>
            </w:tcBorders>
            <w:vAlign w:val="center"/>
          </w:tcPr>
          <w:p>
            <w:pPr>
              <w:pStyle w:val="Normal"/>
              <w:snapToGrid w:val="false"/>
              <w:jc w:val="end"/>
              <w:rPr/>
            </w:pPr>
            <w:r>
              <w:rPr/>
              <w:t>0</w:t>
            </w:r>
          </w:p>
        </w:tc>
        <w:tc>
          <w:tcPr>
            <w:tcW w:w="1971" w:type="dxa"/>
            <w:tcBorders>
              <w:bottom w:val="single" w:sz="4" w:space="0" w:color="000000"/>
              <w:end w:val="single" w:sz="8" w:space="0" w:color="000000"/>
            </w:tcBorders>
            <w:vAlign w:val="center"/>
          </w:tcPr>
          <w:p>
            <w:pPr>
              <w:pStyle w:val="Normal"/>
              <w:jc w:val="both"/>
              <w:rPr/>
            </w:pPr>
            <w:r>
              <w:rPr/>
              <w:t>Ежеквартально, до 25-го числа текущего месяца</w:t>
            </w:r>
          </w:p>
        </w:tc>
      </w:tr>
    </w:tbl>
    <w:p>
      <w:pPr>
        <w:pStyle w:val="Normal"/>
        <w:rPr>
          <w:i/>
          <w:i/>
          <w:color w:val="FF0000"/>
          <w:sz w:val="24"/>
          <w:szCs w:val="24"/>
        </w:rPr>
      </w:pPr>
      <w:r>
        <w:rPr>
          <w:i/>
          <w:color w:val="FF0000"/>
        </w:rPr>
        <w:tab/>
        <w:tab/>
        <w:tab/>
      </w:r>
    </w:p>
    <w:p>
      <w:pPr>
        <w:pStyle w:val="Heading1"/>
        <w:ind w:hanging="0" w:start="0"/>
        <w:jc w:val="center"/>
        <w:rPr>
          <w:rFonts w:cs="Times New Roman"/>
          <w:sz w:val="24"/>
          <w:szCs w:val="24"/>
        </w:rPr>
      </w:pPr>
      <w:r>
        <w:rPr>
          <w:rFonts w:cs="Times New Roman"/>
          <w:i/>
          <w:color w:val="FF0000"/>
          <w:sz w:val="24"/>
          <w:szCs w:val="24"/>
        </w:rPr>
      </w:r>
    </w:p>
    <w:p>
      <w:pPr>
        <w:pStyle w:val="Heading1"/>
        <w:ind w:hanging="0" w:start="0"/>
        <w:jc w:val="center"/>
        <w:rPr>
          <w:rFonts w:cs="Times New Roman"/>
          <w:sz w:val="24"/>
          <w:szCs w:val="24"/>
        </w:rPr>
      </w:pPr>
      <w:r>
        <w:rPr>
          <w:rFonts w:cs="Times New Roman" w:ascii="Times New Roman" w:hAnsi="Times New Roman"/>
          <w:sz w:val="24"/>
          <w:szCs w:val="24"/>
          <w:lang w:val="ru-RU"/>
        </w:rPr>
        <w:t xml:space="preserve">15.5. </w:t>
      </w:r>
      <w:r>
        <w:rPr>
          <w:rFonts w:cs="Times New Roman" w:ascii="Times New Roman" w:hAnsi="Times New Roman"/>
          <w:sz w:val="24"/>
          <w:szCs w:val="24"/>
        </w:rPr>
        <w:t>Вознаграждение основному управленческому персоналу</w:t>
      </w:r>
    </w:p>
    <w:p>
      <w:pPr>
        <w:pStyle w:val="Normal"/>
        <w:widowControl w:val="false"/>
        <w:jc w:val="both"/>
        <w:rPr>
          <w:rFonts w:cs="Times New Roman"/>
          <w:bCs/>
          <w:sz w:val="24"/>
          <w:szCs w:val="24"/>
        </w:rPr>
      </w:pPr>
      <w:r>
        <w:rPr>
          <w:rFonts w:cs="Times New Roman"/>
          <w:bCs/>
          <w:sz w:val="24"/>
          <w:szCs w:val="24"/>
        </w:rPr>
      </w:r>
    </w:p>
    <w:p>
      <w:pPr>
        <w:pStyle w:val="Normal"/>
        <w:autoSpaceDE w:val="false"/>
        <w:ind w:firstLine="709" w:end="0"/>
        <w:jc w:val="both"/>
        <w:rPr>
          <w:sz w:val="24"/>
          <w:szCs w:val="24"/>
        </w:rPr>
      </w:pPr>
      <w:r>
        <w:rPr>
          <w:sz w:val="24"/>
          <w:szCs w:val="24"/>
        </w:rPr>
        <w:t xml:space="preserve">Основной управленческий персонал представлен членами Совета директоров Общества в составе пяти человек по состоянию на 31.12.2025 и на 31.12.2024. Общество не выплачивало вознаграждения членам Совета директоров в 2024, 2025 г.г. </w:t>
      </w:r>
    </w:p>
    <w:p>
      <w:pPr>
        <w:pStyle w:val="Normal"/>
        <w:autoSpaceDE w:val="false"/>
        <w:ind w:firstLine="709" w:end="0"/>
        <w:jc w:val="both"/>
        <w:rPr>
          <w:sz w:val="24"/>
          <w:szCs w:val="24"/>
        </w:rPr>
      </w:pPr>
      <w:r>
        <w:rPr>
          <w:sz w:val="24"/>
          <w:szCs w:val="24"/>
        </w:rPr>
        <w:t>Вознаграждение управляющей организации ООО «Объединенные кондитеры» в 2025г. составило 6 210 тыс. руб. (без НДС), за 2024 г. вознаграждение составило 6 210 тыс. руб. (без НДС)</w:t>
      </w:r>
    </w:p>
    <w:p>
      <w:pPr>
        <w:pStyle w:val="Heading1"/>
        <w:ind w:hanging="0" w:start="0"/>
        <w:jc w:val="center"/>
        <w:rPr>
          <w:rFonts w:ascii="Times New Roman" w:hAnsi="Times New Roman" w:cs="Times New Roman"/>
          <w:sz w:val="24"/>
          <w:szCs w:val="24"/>
          <w:lang w:val="ru-RU"/>
        </w:rPr>
      </w:pPr>
      <w:r>
        <w:rPr>
          <w:rFonts w:cs="Times New Roman" w:ascii="Times New Roman" w:hAnsi="Times New Roman"/>
          <w:sz w:val="24"/>
          <w:szCs w:val="24"/>
        </w:rPr>
        <w:t xml:space="preserve">               </w:t>
      </w:r>
    </w:p>
    <w:p>
      <w:pPr>
        <w:pStyle w:val="Heading1"/>
        <w:ind w:hanging="0" w:start="0"/>
        <w:jc w:val="center"/>
        <w:rPr>
          <w:rFonts w:cs="Times New Roman"/>
          <w:b w:val="false"/>
          <w:sz w:val="24"/>
          <w:szCs w:val="24"/>
          <w:lang w:val="ru-RU"/>
        </w:rPr>
      </w:pPr>
      <w:r>
        <w:rPr>
          <w:rFonts w:cs="Times New Roman" w:ascii="Times New Roman" w:hAnsi="Times New Roman"/>
          <w:sz w:val="24"/>
          <w:szCs w:val="24"/>
          <w:lang w:val="ru-RU"/>
        </w:rPr>
        <w:t xml:space="preserve">15.6. </w:t>
      </w:r>
      <w:r>
        <w:rPr>
          <w:rFonts w:cs="Times New Roman" w:ascii="Times New Roman" w:hAnsi="Times New Roman"/>
          <w:sz w:val="24"/>
          <w:szCs w:val="24"/>
        </w:rPr>
        <w:t>Операции со связанным банком</w:t>
      </w:r>
    </w:p>
    <w:p>
      <w:pPr>
        <w:pStyle w:val="Level3"/>
        <w:widowControl w:val="fals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Rule="auto" w:line="240" w:before="0" w:after="0"/>
        <w:ind w:firstLine="709" w:end="0"/>
        <w:outlineLvl w:val="9"/>
        <w:rPr>
          <w:rFonts w:cs="Times New Roman"/>
          <w:b w:val="false"/>
          <w:sz w:val="24"/>
          <w:szCs w:val="24"/>
          <w:lang w:val="ru-RU"/>
        </w:rPr>
      </w:pPr>
      <w:r>
        <w:rPr>
          <w:rFonts w:cs="Times New Roman"/>
          <w:b w:val="false"/>
          <w:sz w:val="24"/>
          <w:szCs w:val="24"/>
          <w:lang w:val="ru-RU"/>
        </w:rPr>
      </w:r>
    </w:p>
    <w:p>
      <w:pPr>
        <w:pStyle w:val="Level3"/>
        <w:widowControl w:val="fals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Rule="auto" w:line="240" w:before="0" w:after="0"/>
        <w:ind w:firstLine="709" w:end="0"/>
        <w:outlineLvl w:val="9"/>
        <w:rPr>
          <w:bCs/>
          <w:sz w:val="24"/>
          <w:szCs w:val="24"/>
        </w:rPr>
      </w:pPr>
      <w:r>
        <w:rPr>
          <w:b w:val="false"/>
          <w:sz w:val="24"/>
          <w:szCs w:val="24"/>
        </w:rPr>
        <w:t>Значительная часть поступлений и платежей Общества проходит через связанный банк. Услуги банка составили в 20</w:t>
      </w:r>
      <w:r>
        <w:rPr>
          <w:b w:val="false"/>
          <w:sz w:val="24"/>
          <w:szCs w:val="24"/>
          <w:lang w:val="ru-RU"/>
        </w:rPr>
        <w:t>25</w:t>
      </w:r>
      <w:r>
        <w:rPr>
          <w:b w:val="false"/>
          <w:sz w:val="24"/>
          <w:szCs w:val="24"/>
        </w:rPr>
        <w:t xml:space="preserve"> г. </w:t>
      </w:r>
      <w:r>
        <w:rPr>
          <w:b w:val="false"/>
          <w:sz w:val="24"/>
          <w:szCs w:val="24"/>
          <w:lang w:val="ru-RU"/>
        </w:rPr>
        <w:t>358</w:t>
      </w:r>
      <w:r>
        <w:rPr>
          <w:b w:val="false"/>
          <w:sz w:val="24"/>
          <w:szCs w:val="24"/>
        </w:rPr>
        <w:t xml:space="preserve"> тыс.</w:t>
      </w:r>
      <w:r>
        <w:rPr>
          <w:b w:val="false"/>
          <w:sz w:val="24"/>
          <w:szCs w:val="24"/>
          <w:lang w:val="ru-RU"/>
        </w:rPr>
        <w:t xml:space="preserve"> </w:t>
      </w:r>
      <w:r>
        <w:rPr>
          <w:b w:val="false"/>
          <w:sz w:val="24"/>
          <w:szCs w:val="24"/>
        </w:rPr>
        <w:t>руб., в 20</w:t>
      </w:r>
      <w:r>
        <w:rPr>
          <w:b w:val="false"/>
          <w:sz w:val="24"/>
          <w:szCs w:val="24"/>
          <w:lang w:val="ru-RU"/>
        </w:rPr>
        <w:t>24</w:t>
      </w:r>
      <w:r>
        <w:rPr>
          <w:b w:val="false"/>
          <w:sz w:val="24"/>
          <w:szCs w:val="24"/>
        </w:rPr>
        <w:t xml:space="preserve"> г. - </w:t>
      </w:r>
      <w:r>
        <w:rPr>
          <w:b w:val="false"/>
          <w:sz w:val="24"/>
          <w:szCs w:val="24"/>
          <w:lang w:val="ru-RU"/>
        </w:rPr>
        <w:t>269</w:t>
      </w:r>
      <w:r>
        <w:rPr>
          <w:b w:val="false"/>
          <w:sz w:val="24"/>
          <w:szCs w:val="24"/>
        </w:rPr>
        <w:t xml:space="preserve"> тыс.</w:t>
      </w:r>
      <w:r>
        <w:rPr>
          <w:b w:val="false"/>
          <w:sz w:val="24"/>
          <w:szCs w:val="24"/>
          <w:lang w:val="ru-RU"/>
        </w:rPr>
        <w:t xml:space="preserve"> </w:t>
      </w:r>
      <w:r>
        <w:rPr>
          <w:b w:val="false"/>
          <w:sz w:val="24"/>
          <w:szCs w:val="24"/>
        </w:rPr>
        <w:t>руб</w:t>
      </w:r>
      <w:r>
        <w:rPr>
          <w:sz w:val="24"/>
          <w:szCs w:val="24"/>
        </w:rPr>
        <w:t>.</w:t>
      </w:r>
    </w:p>
    <w:p>
      <w:pPr>
        <w:pStyle w:val="Normal"/>
        <w:autoSpaceDE w:val="false"/>
        <w:jc w:val="center"/>
        <w:rPr>
          <w:b/>
          <w:bCs/>
          <w:sz w:val="24"/>
          <w:szCs w:val="24"/>
        </w:rPr>
      </w:pPr>
      <w:r>
        <w:rPr>
          <w:b/>
          <w:bCs/>
          <w:sz w:val="24"/>
          <w:szCs w:val="24"/>
        </w:rPr>
      </w:r>
    </w:p>
    <w:p>
      <w:pPr>
        <w:pStyle w:val="Normal"/>
        <w:autoSpaceDE w:val="false"/>
        <w:jc w:val="center"/>
        <w:rPr>
          <w:b/>
          <w:bCs/>
          <w:sz w:val="24"/>
          <w:szCs w:val="24"/>
        </w:rPr>
      </w:pPr>
      <w:r>
        <w:rPr>
          <w:b/>
          <w:bCs/>
          <w:sz w:val="24"/>
          <w:szCs w:val="24"/>
        </w:rPr>
      </w:r>
    </w:p>
    <w:p>
      <w:pPr>
        <w:pStyle w:val="Normal"/>
        <w:autoSpaceDE w:val="false"/>
        <w:jc w:val="center"/>
        <w:rPr>
          <w:rFonts w:ascii="Calibri" w:hAnsi="Calibri" w:cs="Calibri"/>
          <w:b/>
          <w:bCs/>
          <w:sz w:val="24"/>
          <w:szCs w:val="24"/>
          <w:lang w:eastAsia="ru-RU"/>
        </w:rPr>
      </w:pPr>
      <w:r>
        <w:rPr>
          <w:b/>
          <w:bCs/>
          <w:sz w:val="24"/>
          <w:szCs w:val="24"/>
        </w:rPr>
        <w:t>16. Соблюдение принципа непрерывности деятельности</w:t>
      </w:r>
    </w:p>
    <w:p>
      <w:pPr>
        <w:pStyle w:val="Normal"/>
        <w:autoSpaceDE w:val="false"/>
        <w:rPr>
          <w:rFonts w:ascii="Calibri" w:hAnsi="Calibri" w:cs="Calibri"/>
          <w:b/>
          <w:bCs/>
          <w:sz w:val="24"/>
          <w:szCs w:val="24"/>
          <w:lang w:eastAsia="ru-RU"/>
        </w:rPr>
      </w:pPr>
      <w:r>
        <w:rPr>
          <w:rFonts w:cs="Calibri" w:ascii="Calibri" w:hAnsi="Calibri"/>
          <w:b/>
          <w:bCs/>
          <w:sz w:val="24"/>
          <w:szCs w:val="24"/>
          <w:lang w:eastAsia="ru-RU"/>
        </w:rPr>
      </w:r>
    </w:p>
    <w:p>
      <w:pPr>
        <w:pStyle w:val="Normal"/>
        <w:autoSpaceDE w:val="false"/>
        <w:ind w:firstLine="708" w:end="0"/>
        <w:jc w:val="both"/>
        <w:rPr>
          <w:sz w:val="24"/>
          <w:szCs w:val="24"/>
        </w:rPr>
      </w:pPr>
      <w:r>
        <w:rPr>
          <w:sz w:val="24"/>
          <w:szCs w:val="24"/>
        </w:rPr>
        <w:t xml:space="preserve">Данная бухгалтерская (финансовая) отчетность была подготовлена на основании принципа непрерывности деятельности, исходя из допущения о том, что организация осуществляет непрерывно свою деятельность и будет продолжать осуществлять свою деятельность в обозримом будущем. Принцип непрерывности деятельности предполагает реализацию активов и урегулирование договорных обязательств в ходе обычной деятельности. </w:t>
      </w:r>
    </w:p>
    <w:p>
      <w:pPr>
        <w:pStyle w:val="Normal"/>
        <w:autoSpaceDE w:val="false"/>
        <w:ind w:firstLine="708" w:end="0"/>
        <w:jc w:val="both"/>
        <w:rPr>
          <w:sz w:val="24"/>
          <w:szCs w:val="24"/>
        </w:rPr>
      </w:pPr>
      <w:r>
        <w:rPr>
          <w:sz w:val="24"/>
          <w:szCs w:val="24"/>
        </w:rPr>
      </w:r>
    </w:p>
    <w:p>
      <w:pPr>
        <w:pStyle w:val="Normal"/>
        <w:autoSpaceDE w:val="false"/>
        <w:ind w:firstLine="708" w:end="0"/>
        <w:jc w:val="both"/>
        <w:rPr>
          <w:sz w:val="24"/>
          <w:szCs w:val="24"/>
        </w:rPr>
      </w:pPr>
      <w:r>
        <w:rPr>
          <w:sz w:val="24"/>
          <w:szCs w:val="24"/>
        </w:rPr>
        <w:t xml:space="preserve">На 31.12.2025 оборотные активы Общества в сумме 1 204 774 тыс. руб. превышали его краткосрочные обязательства на 547 763 тыс. руб. </w:t>
      </w:r>
    </w:p>
    <w:p>
      <w:pPr>
        <w:pStyle w:val="Normal"/>
        <w:autoSpaceDE w:val="false"/>
        <w:ind w:firstLine="708" w:end="0"/>
        <w:jc w:val="both"/>
        <w:rPr>
          <w:sz w:val="24"/>
          <w:szCs w:val="24"/>
        </w:rPr>
      </w:pPr>
      <w:r>
        <w:rPr>
          <w:sz w:val="24"/>
          <w:szCs w:val="24"/>
        </w:rPr>
        <w:t xml:space="preserve">Чистые активы Общества положительные, больше уставного капитала и составили на 31.12.2025 г. 689583 тыс. руб. </w:t>
      </w:r>
    </w:p>
    <w:p>
      <w:pPr>
        <w:pStyle w:val="Normal"/>
        <w:autoSpaceDE w:val="false"/>
        <w:ind w:firstLine="708" w:end="0"/>
        <w:jc w:val="both"/>
        <w:rPr/>
      </w:pPr>
      <w:r>
        <w:rPr>
          <w:sz w:val="24"/>
          <w:szCs w:val="24"/>
        </w:rPr>
        <w:t>За 2025 г. Общество получило убыток от продаж в сумме 38 863 тыс. руб., чистый убыток в сумме 24 837 тыс. руб.</w:t>
      </w:r>
    </w:p>
    <w:p>
      <w:pPr>
        <w:pStyle w:val="Normal"/>
        <w:autoSpaceDE w:val="false"/>
        <w:ind w:firstLine="708" w:end="0"/>
        <w:jc w:val="both"/>
        <w:rPr/>
      </w:pPr>
      <w:r>
        <w:rPr>
          <w:sz w:val="24"/>
          <w:szCs w:val="24"/>
        </w:rPr>
        <w:t xml:space="preserve">Сальдо денежных потоков от текущих операций имеет отрицательное значение и составляет </w:t>
      </w:r>
      <w:r>
        <w:rPr>
          <w:color w:val="1F497D"/>
          <w:sz w:val="24"/>
          <w:szCs w:val="24"/>
        </w:rPr>
        <w:t>-</w:t>
      </w:r>
      <w:r>
        <w:rPr>
          <w:sz w:val="24"/>
          <w:szCs w:val="24"/>
        </w:rPr>
        <w:t xml:space="preserve">112 443 тыс. руб. Денежные потоки по текущим операциям по продаже продукции поступают от связанных сторон, находящихся под единым внутригрупповым контролем. По состоянию на 31.12.2025 имеется непогашенная дебиторская задолженность за готовую продукцию от связанных сторон в сумме 915405 тыс. руб., что повлияло на сальдо денежных потоков от операционной деятельности за 2025 год. У Общества имеется уверенность в погашении указанной дебиторской задолженности . </w:t>
      </w:r>
    </w:p>
    <w:p>
      <w:pPr>
        <w:pStyle w:val="Normal"/>
        <w:autoSpaceDE w:val="false"/>
        <w:ind w:firstLine="708" w:end="0"/>
        <w:jc w:val="both"/>
        <w:rPr/>
      </w:pPr>
      <w:r>
        <w:rPr>
          <w:sz w:val="24"/>
          <w:szCs w:val="24"/>
        </w:rPr>
        <w:t xml:space="preserve">Обществом было получено подтверждение от Управляющей организации ООО «Объединенные кондитеры» о готовности оказать финансовую поддержку в течение 2026 года в случае необходимости обеспечения своевременного исполнения договорных обязательств фабрики перед контрагентами. </w:t>
      </w:r>
    </w:p>
    <w:p>
      <w:pPr>
        <w:pStyle w:val="Normal"/>
        <w:autoSpaceDE w:val="false"/>
        <w:ind w:firstLine="567" w:end="0"/>
        <w:jc w:val="both"/>
        <w:rPr/>
      </w:pPr>
      <w:bookmarkStart w:id="2" w:name="_Hlk224221697"/>
      <w:r>
        <w:rPr>
          <w:sz w:val="24"/>
          <w:szCs w:val="24"/>
        </w:rPr>
        <w:t xml:space="preserve">Руководство Общества имеет следующие </w:t>
      </w:r>
      <w:r>
        <w:rPr>
          <w:color w:val="000000"/>
          <w:sz w:val="24"/>
          <w:szCs w:val="24"/>
        </w:rPr>
        <w:t>планы</w:t>
      </w:r>
      <w:r>
        <w:rPr>
          <w:sz w:val="24"/>
          <w:szCs w:val="24"/>
        </w:rPr>
        <w:t xml:space="preserve"> в отношении таких условий или событий: повышение рентабельности продаж. Для повышения рентабельности продаж Общество планирует повысить базовые цены на готовую продукцию в 2026 г. Также планируется изменение структуры ассортимента - увеличение доли продаж высокомаржинальной продукции. </w:t>
      </w:r>
      <w:bookmarkEnd w:id="2"/>
    </w:p>
    <w:p>
      <w:pPr>
        <w:pStyle w:val="Normal"/>
        <w:autoSpaceDE w:val="false"/>
        <w:ind w:firstLine="567" w:end="0"/>
        <w:jc w:val="both"/>
        <w:rPr>
          <w:bCs/>
          <w:sz w:val="24"/>
          <w:szCs w:val="24"/>
        </w:rPr>
      </w:pPr>
      <w:r>
        <w:rPr>
          <w:sz w:val="24"/>
          <w:szCs w:val="24"/>
        </w:rPr>
        <w:t>Общество намерено получить прибыль от операционной деятельности и погасить отложенный налоговый актив, сформированный по налоговому убытку.</w:t>
      </w:r>
    </w:p>
    <w:p>
      <w:pPr>
        <w:pStyle w:val="Level3"/>
        <w:spacing w:lineRule="auto" w:line="240" w:before="0" w:after="0"/>
        <w:ind w:firstLine="567" w:end="0"/>
        <w:rPr>
          <w:b w:val="false"/>
          <w:bCs/>
          <w:sz w:val="24"/>
          <w:szCs w:val="24"/>
        </w:rPr>
      </w:pPr>
      <w:r>
        <w:rPr>
          <w:b w:val="false"/>
          <w:bCs/>
          <w:sz w:val="24"/>
          <w:szCs w:val="24"/>
        </w:rPr>
        <w:t>По оперативной отчетности за январь-февраль 2026 года Общество получило прибыль от продаж и чистую прибыль.</w:t>
      </w:r>
    </w:p>
    <w:p>
      <w:pPr>
        <w:pStyle w:val="Level3"/>
        <w:spacing w:lineRule="auto" w:line="240" w:before="0" w:after="0"/>
        <w:ind w:firstLine="709" w:end="0"/>
        <w:rPr>
          <w:b w:val="false"/>
          <w:bCs/>
          <w:sz w:val="24"/>
          <w:szCs w:val="24"/>
        </w:rPr>
      </w:pPr>
      <w:r>
        <w:rPr>
          <w:b w:val="false"/>
          <w:bCs/>
          <w:sz w:val="24"/>
          <w:szCs w:val="24"/>
        </w:rPr>
        <w:t>Таким образом, руководство Общества считает, что отсутствует существенная неопределенность, связанная с событиями или условиями, которые могут вызвать значительные сомнения в способности Общества продолжать непрерывно свою деятельность.</w:t>
      </w:r>
    </w:p>
    <w:p>
      <w:pPr>
        <w:pStyle w:val="Level3"/>
        <w:widowControl w:val="fals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Rule="auto" w:line="240" w:before="0" w:after="0"/>
        <w:ind w:firstLine="709" w:end="0"/>
        <w:outlineLvl w:val="9"/>
        <w:rPr>
          <w:b w:val="false"/>
          <w:bCs/>
          <w:sz w:val="24"/>
          <w:szCs w:val="24"/>
          <w:lang w:val="ru-RU"/>
        </w:rPr>
      </w:pPr>
      <w:r>
        <w:rPr>
          <w:b w:val="false"/>
          <w:bCs/>
          <w:sz w:val="24"/>
          <w:szCs w:val="24"/>
          <w:lang w:val="ru-RU"/>
        </w:rPr>
      </w:r>
    </w:p>
    <w:p>
      <w:pPr>
        <w:pStyle w:val="Level3"/>
        <w:widowControl w:val="fals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Rule="auto" w:line="240" w:before="0" w:after="0"/>
        <w:ind w:firstLine="709" w:end="0"/>
        <w:jc w:val="center"/>
        <w:outlineLvl w:val="9"/>
        <w:rPr>
          <w:sz w:val="24"/>
          <w:szCs w:val="24"/>
          <w:highlight w:val="yellow"/>
          <w:lang w:val="ru-RU"/>
        </w:rPr>
      </w:pPr>
      <w:r>
        <w:rPr>
          <w:sz w:val="24"/>
          <w:szCs w:val="24"/>
          <w:lang w:val="ru-RU"/>
        </w:rPr>
        <w:t>17.</w:t>
      </w:r>
      <w:r>
        <w:rPr>
          <w:sz w:val="24"/>
          <w:szCs w:val="24"/>
        </w:rPr>
        <w:t xml:space="preserve"> </w:t>
      </w:r>
      <w:r>
        <w:rPr>
          <w:sz w:val="24"/>
          <w:szCs w:val="24"/>
          <w:lang w:val="ru-RU"/>
        </w:rPr>
        <w:t>События после отчетной даты</w:t>
      </w:r>
    </w:p>
    <w:p>
      <w:pPr>
        <w:pStyle w:val="Normal"/>
        <w:jc w:val="both"/>
        <w:rPr>
          <w:sz w:val="24"/>
          <w:szCs w:val="24"/>
          <w:highlight w:val="yellow"/>
          <w:lang w:val="ru-RU"/>
        </w:rPr>
      </w:pPr>
      <w:r>
        <w:rPr>
          <w:sz w:val="24"/>
          <w:szCs w:val="24"/>
          <w:highlight w:val="yellow"/>
          <w:lang w:val="ru-RU"/>
        </w:rPr>
      </w:r>
    </w:p>
    <w:p>
      <w:pPr>
        <w:pStyle w:val="Normal"/>
        <w:ind w:firstLine="708" w:end="0"/>
        <w:jc w:val="both"/>
        <w:rPr>
          <w:sz w:val="24"/>
          <w:szCs w:val="24"/>
        </w:rPr>
      </w:pPr>
      <w:r>
        <w:rPr>
          <w:sz w:val="24"/>
          <w:szCs w:val="24"/>
        </w:rPr>
        <w:t>По мнению руководства Общества, произошедшее 16 марта 2026 года обрушение крыши и частичное обрушение стен модульного склада хранения сырья, может оказать влияние на финансовое состояние и результаты деятельности Общества в 2026 году.</w:t>
      </w:r>
    </w:p>
    <w:p>
      <w:pPr>
        <w:pStyle w:val="Normal"/>
        <w:ind w:firstLine="708" w:end="0"/>
        <w:jc w:val="both"/>
        <w:rPr>
          <w:sz w:val="24"/>
          <w:szCs w:val="24"/>
        </w:rPr>
      </w:pPr>
      <w:r>
        <w:rPr>
          <w:sz w:val="24"/>
          <w:szCs w:val="24"/>
        </w:rPr>
        <w:t>По состоянию на 16 марта 2026 года, по данным бухгалтерского учета, стоимость имущества, находящего на данном складе, составляла 21 052 тыс. руб.</w:t>
      </w:r>
    </w:p>
    <w:p>
      <w:pPr>
        <w:pStyle w:val="Normal"/>
        <w:ind w:firstLine="709" w:end="0"/>
        <w:jc w:val="both"/>
        <w:rPr/>
      </w:pPr>
      <w:r>
        <w:rPr>
          <w:sz w:val="24"/>
          <w:szCs w:val="24"/>
        </w:rPr>
        <w:t>В настоящее время Общество не может достаточно надежно определить ущерб от обрушения крыши и частичного обрушения стен склада, т.к. на данный момент не осуществлена разборка завалов и не проведена инвентаризация сырья и материалов на предмет возможности их сохранности и дальнейшего использования для производства готовой продукции.</w:t>
      </w:r>
    </w:p>
    <w:p>
      <w:pPr>
        <w:pStyle w:val="Normal"/>
        <w:ind w:firstLine="709" w:end="0"/>
        <w:jc w:val="both"/>
        <w:rPr>
          <w:sz w:val="24"/>
          <w:szCs w:val="24"/>
        </w:rPr>
      </w:pPr>
      <w:r>
        <w:rPr>
          <w:sz w:val="24"/>
          <w:szCs w:val="24"/>
        </w:rPr>
        <w:t xml:space="preserve">Также на данный момент не известна сумма страхового возмещения, ожидаемая  к  получению, согласно заключенного Договора страхования имущества № ГС34-ИМЮЛ/005409-25, возможно страховка позволит  покрыть  большую  часть убытка. </w:t>
      </w:r>
    </w:p>
    <w:p>
      <w:pPr>
        <w:pStyle w:val="Normal"/>
        <w:ind w:firstLine="709" w:end="0"/>
        <w:jc w:val="both"/>
        <w:rPr>
          <w:b/>
          <w:sz w:val="24"/>
          <w:szCs w:val="24"/>
        </w:rPr>
      </w:pPr>
      <w:r>
        <w:rPr>
          <w:b/>
          <w:sz w:val="24"/>
          <w:szCs w:val="24"/>
        </w:rPr>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pPr>
      <w:r>
        <w:rPr>
          <w:b/>
          <w:sz w:val="24"/>
          <w:szCs w:val="24"/>
        </w:rPr>
        <w:t>18. Влияние внешних факторов</w:t>
      </w:r>
    </w:p>
    <w:p>
      <w:pPr>
        <w:pStyle w:val="Normal"/>
        <w:ind w:firstLine="510" w:end="0"/>
        <w:jc w:val="both"/>
        <w:rPr>
          <w:b/>
          <w:sz w:val="24"/>
          <w:szCs w:val="24"/>
        </w:rPr>
      </w:pPr>
      <w:r>
        <w:rPr>
          <w:b/>
          <w:sz w:val="24"/>
          <w:szCs w:val="24"/>
        </w:rPr>
      </w:r>
    </w:p>
    <w:p>
      <w:pPr>
        <w:pStyle w:val="Normal"/>
        <w:ind w:firstLine="709" w:end="0"/>
        <w:jc w:val="both"/>
        <w:rPr>
          <w:sz w:val="24"/>
          <w:szCs w:val="24"/>
        </w:rPr>
      </w:pPr>
      <w:r>
        <w:rPr>
          <w:sz w:val="24"/>
          <w:szCs w:val="24"/>
        </w:rPr>
        <w:t xml:space="preserve">В 2025 году продолжающийся конфликт, связанный с Украиной, и вызванное этим обострение геополитической напряженности оказали влияние на экономику Российской Федерации. Европейский союз, США и ряд других стран в период конфликта, в т.ч. 2025 году, вводили новые санкции в отношении ряда российских государственных и коммерческих организаций, включая банки, физических лиц и определенных отраслей экономики, а также ограничения на определенные виды операций, включающие блокировку денежных средств на счетах в иностранных банках и блокировку выплат по еврооблигациям РФ и российских компаний. Некоторые международные компании заявили о приостановлении деятельности в России или о прекращении поставок продукции в Россию. Это привело к росту волатильности на фондовых и валютных рынках. </w:t>
      </w:r>
    </w:p>
    <w:p>
      <w:pPr>
        <w:pStyle w:val="Normal"/>
        <w:ind w:firstLine="709" w:end="0"/>
        <w:jc w:val="both"/>
        <w:rPr>
          <w:b/>
          <w:sz w:val="24"/>
          <w:szCs w:val="24"/>
        </w:rPr>
      </w:pPr>
      <w:r>
        <w:rPr>
          <w:sz w:val="24"/>
          <w:szCs w:val="24"/>
        </w:rPr>
        <w:t>Общество продолжает оценивать влияние данных событий и изменений микро- и макроэкономических условий на свою деятельность, финансовое положение и финансовые результаты.</w:t>
      </w:r>
    </w:p>
    <w:p>
      <w:pPr>
        <w:pStyle w:val="212"/>
        <w:rPr>
          <w:b/>
          <w:sz w:val="24"/>
          <w:szCs w:val="24"/>
          <w:lang w:val="ru-RU"/>
        </w:rPr>
      </w:pPr>
      <w:r>
        <w:rPr>
          <w:b/>
          <w:sz w:val="24"/>
          <w:szCs w:val="24"/>
          <w:lang w:val="ru-RU"/>
        </w:rPr>
      </w:r>
    </w:p>
    <w:p>
      <w:pPr>
        <w:pStyle w:val="212"/>
        <w:rPr>
          <w:b/>
          <w:sz w:val="24"/>
          <w:szCs w:val="24"/>
          <w:lang w:val="ru-RU"/>
        </w:rPr>
      </w:pPr>
      <w:r>
        <w:rPr>
          <w:b/>
          <w:sz w:val="24"/>
          <w:szCs w:val="24"/>
          <w:lang w:val="ru-RU"/>
        </w:rPr>
      </w:r>
    </w:p>
    <w:p>
      <w:pPr>
        <w:pStyle w:val="212"/>
        <w:rPr>
          <w:b/>
          <w:sz w:val="24"/>
          <w:szCs w:val="24"/>
          <w:lang w:val="ru-RU"/>
        </w:rPr>
      </w:pPr>
      <w:r>
        <w:rPr>
          <w:b/>
          <w:sz w:val="24"/>
          <w:szCs w:val="24"/>
          <w:lang w:val="ru-RU"/>
        </w:rPr>
      </w:r>
    </w:p>
    <w:p>
      <w:pPr>
        <w:pStyle w:val="Normal"/>
        <w:rPr/>
      </w:pPr>
      <w:r>
        <w:rPr>
          <w:sz w:val="24"/>
          <w:szCs w:val="24"/>
        </w:rPr>
        <w:t>Главный  инженер,</w:t>
        <w:tab/>
        <w:tab/>
        <w:tab/>
        <w:tab/>
        <w:tab/>
        <w:tab/>
        <w:tab/>
        <w:tab/>
        <w:t xml:space="preserve">И.А. Лимонов                                                   </w:t>
      </w:r>
    </w:p>
    <w:p>
      <w:pPr>
        <w:pStyle w:val="Normal"/>
        <w:rPr>
          <w:sz w:val="24"/>
          <w:szCs w:val="24"/>
        </w:rPr>
      </w:pPr>
      <w:r>
        <w:rPr>
          <w:sz w:val="24"/>
          <w:szCs w:val="24"/>
        </w:rPr>
        <w:t xml:space="preserve">доверенность 12 АА 1085569 от 20.12.2023 г.  </w:t>
        <w:tab/>
        <w:tab/>
        <w:tab/>
        <w:tab/>
        <w:t xml:space="preserve"> </w:t>
      </w:r>
    </w:p>
    <w:p>
      <w:pPr>
        <w:pStyle w:val="Normal"/>
        <w:rPr>
          <w:sz w:val="24"/>
          <w:szCs w:val="24"/>
        </w:rPr>
      </w:pPr>
      <w:r>
        <w:rPr>
          <w:sz w:val="24"/>
          <w:szCs w:val="24"/>
        </w:rPr>
      </w:r>
    </w:p>
    <w:p>
      <w:pPr>
        <w:pStyle w:val="Normal"/>
        <w:rPr>
          <w:color w:val="666666"/>
          <w:sz w:val="24"/>
          <w:szCs w:val="24"/>
        </w:rPr>
      </w:pPr>
      <w:r>
        <w:rPr>
          <w:sz w:val="24"/>
          <w:szCs w:val="24"/>
        </w:rPr>
        <w:t xml:space="preserve">26 марта 2026 г.                                       </w:t>
      </w:r>
    </w:p>
    <w:p>
      <w:pPr>
        <w:pStyle w:val="Normal"/>
        <w:rPr>
          <w:color w:val="666666"/>
          <w:sz w:val="24"/>
          <w:szCs w:val="24"/>
        </w:rPr>
      </w:pPr>
      <w:r>
        <w:rPr>
          <w:color w:val="666666"/>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sectPr>
      <w:footerReference w:type="default" r:id="rId4"/>
      <w:type w:val="nextPage"/>
      <w:pgSz w:w="11906" w:h="16838"/>
      <w:pgMar w:left="1134" w:right="1134" w:gutter="0" w:header="0" w:top="851" w:footer="720" w:bottom="1701"/>
      <w:pgNumType w:fmt="decimal"/>
      <w:formProt w:val="false"/>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Cambria">
    <w:charset w:val="cc" w:characterSet="windows-1251"/>
    <w:family w:val="roman"/>
    <w:pitch w:val="variable"/>
  </w:font>
  <w:font w:name="Calibri">
    <w:charset w:val="cc" w:characterSet="windows-1251"/>
    <w:family w:val="swiss"/>
    <w:pitch w:val="variable"/>
  </w:font>
  <w:font w:name="Courier New">
    <w:charset w:val="cc" w:characterSet="windows-1251"/>
    <w:family w:val="modern"/>
    <w:pitch w:val="default"/>
  </w:font>
  <w:font w:name="Wingdings">
    <w:charset w:val="02"/>
    <w:family w:val="auto"/>
    <w:pitch w:val="variable"/>
  </w:font>
  <w:font w:name="Tahoma">
    <w:charset w:val="cc" w:characterSet="windows-1251"/>
    <w:family w:val="swiss"/>
    <w:pitch w:val="variable"/>
  </w:font>
  <w:font w:name="Consolas">
    <w:charset w:val="cc" w:characterSet="windows-1251"/>
    <w:family w:val="modern"/>
    <w:pitch w:val="default"/>
  </w:font>
  <w:font w:name="Liberation Sans">
    <w:altName w:val="Arial"/>
    <w:charset w:val="01"/>
    <w:family w:val="swiss"/>
    <w:pitch w:val="variable"/>
  </w:font>
  <w:font w:name="Arial">
    <w:charset w:val="cc" w:characterSet="windows-125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fldChar w:fldCharType="begin"/>
    </w:r>
    <w:r>
      <w:rPr/>
      <w:instrText xml:space="preserve"> PAGE </w:instrText>
    </w:r>
    <w:r>
      <w:rPr/>
      <w:fldChar w:fldCharType="separate"/>
    </w:r>
    <w:r>
      <w:rPr/>
      <w:t>14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0"/>
        </w:tabs>
        <w:ind w:start="708" w:hanging="708"/>
      </w:pPr>
      <w:rPr/>
    </w:lvl>
    <w:lvl w:ilvl="1">
      <w:start w:val="1"/>
      <w:numFmt w:val="decimal"/>
      <w:lvlText w:val="%1.%2"/>
      <w:lvlJc w:val="start"/>
      <w:pPr>
        <w:tabs>
          <w:tab w:val="num" w:pos="0"/>
        </w:tabs>
        <w:ind w:start="992" w:hanging="708"/>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720" w:hanging="72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080" w:hanging="108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440" w:hanging="1440"/>
      </w:pPr>
      <w:rPr/>
    </w:lvl>
  </w:abstractNum>
  <w:abstractNum w:abstractNumId="3">
    <w:lvl w:ilvl="0">
      <w:start w:val="1"/>
      <w:numFmt w:val="upperRoman"/>
      <w:lvlText w:val="%1."/>
      <w:lvlJc w:val="center"/>
      <w:pPr>
        <w:tabs>
          <w:tab w:val="num" w:pos="5040"/>
        </w:tabs>
        <w:ind w:start="5040" w:hanging="720"/>
      </w:pPr>
      <w:rPr/>
    </w:lvl>
    <w:lvl w:ilvl="1">
      <w:start w:val="1"/>
      <w:numFmt w:val="russianLower"/>
      <w:lvlText w:val="%2)"/>
      <w:lvlJc w:val="start"/>
      <w:pPr>
        <w:tabs>
          <w:tab w:val="num" w:pos="453"/>
        </w:tabs>
        <w:ind w:start="453" w:hanging="453"/>
      </w:pPr>
      <w:rPr>
        <w:i w:val="false"/>
        <w:b w:val="false"/>
      </w:rPr>
    </w:lvl>
    <w:lvl w:ilvl="2">
      <w:start w:val="1"/>
      <w:numFmt w:val="lowerRoman"/>
      <w:lvlText w:val="%3."/>
      <w:lvlJc w:val="end"/>
      <w:pPr>
        <w:tabs>
          <w:tab w:val="num" w:pos="2160"/>
        </w:tabs>
        <w:ind w:start="2160" w:hanging="180"/>
      </w:pPr>
    </w:lvl>
    <w:lvl w:ilvl="3">
      <w:start w:val="1"/>
      <w:numFmt w:val="decimal"/>
      <w:lvlText w:val="%4."/>
      <w:lvlJc w:val="start"/>
      <w:pPr>
        <w:tabs>
          <w:tab w:val="num" w:pos="2880"/>
        </w:tabs>
        <w:ind w:start="2880" w:hanging="360"/>
      </w:pPr>
    </w:lvl>
    <w:lvl w:ilvl="4">
      <w:start w:val="1"/>
      <w:numFmt w:val="lowerLetter"/>
      <w:lvlText w:val="%5."/>
      <w:lvlJc w:val="start"/>
      <w:pPr>
        <w:tabs>
          <w:tab w:val="num" w:pos="3600"/>
        </w:tabs>
        <w:ind w:start="3600" w:hanging="360"/>
      </w:pPr>
    </w:lvl>
    <w:lvl w:ilvl="5">
      <w:start w:val="1"/>
      <w:numFmt w:val="lowerRoman"/>
      <w:lvlText w:val="%6."/>
      <w:lvlJc w:val="end"/>
      <w:pPr>
        <w:tabs>
          <w:tab w:val="num" w:pos="4320"/>
        </w:tabs>
        <w:ind w:start="4320" w:hanging="180"/>
      </w:pPr>
    </w:lvl>
    <w:lvl w:ilvl="6">
      <w:start w:val="1"/>
      <w:numFmt w:val="decimal"/>
      <w:lvlText w:val="%7."/>
      <w:lvlJc w:val="start"/>
      <w:pPr>
        <w:tabs>
          <w:tab w:val="num" w:pos="5040"/>
        </w:tabs>
        <w:ind w:start="5040" w:hanging="360"/>
      </w:pPr>
    </w:lvl>
    <w:lvl w:ilvl="7">
      <w:start w:val="1"/>
      <w:numFmt w:val="lowerLetter"/>
      <w:lvlText w:val="%8."/>
      <w:lvlJc w:val="start"/>
      <w:pPr>
        <w:tabs>
          <w:tab w:val="num" w:pos="5760"/>
        </w:tabs>
        <w:ind w:start="5760" w:hanging="360"/>
      </w:pPr>
    </w:lvl>
    <w:lvl w:ilvl="8">
      <w:start w:val="1"/>
      <w:numFmt w:val="lowerRoman"/>
      <w:lvlText w:val="%9."/>
      <w:lvlJc w:val="end"/>
      <w:pPr>
        <w:tabs>
          <w:tab w:val="num" w:pos="6480"/>
        </w:tabs>
        <w:ind w:start="6480" w:hanging="180"/>
      </w:pPr>
    </w:lvl>
  </w:abstractNum>
  <w:abstractNum w:abstractNumId="4">
    <w:lvl w:ilvl="0">
      <w:start w:val="1"/>
      <w:numFmt w:val="bullet"/>
      <w:lvlText w:val=""/>
      <w:lvlJc w:val="start"/>
      <w:pPr>
        <w:tabs>
          <w:tab w:val="num" w:pos="0"/>
        </w:tabs>
        <w:ind w:start="1429" w:hanging="360"/>
      </w:pPr>
      <w:rPr>
        <w:rFonts w:ascii="Symbol" w:hAnsi="Symbol" w:cs="Symbol" w:hint="default"/>
      </w:rPr>
    </w:lvl>
  </w:abstractNum>
  <w:abstractNum w:abstractNumId="5">
    <w:lvl w:ilvl="0">
      <w:start w:val="1"/>
      <w:numFmt w:val="bullet"/>
      <w:lvlText w:val=""/>
      <w:lvlJc w:val="start"/>
      <w:pPr>
        <w:tabs>
          <w:tab w:val="num" w:pos="0"/>
        </w:tabs>
        <w:ind w:start="1429"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Droid 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0"/>
      <w:szCs w:val="20"/>
      <w:lang w:val="ru-RU" w:eastAsia="zh-CN" w:bidi="ar-SA"/>
    </w:rPr>
  </w:style>
  <w:style w:type="paragraph" w:styleId="Heading1">
    <w:name w:val="heading 1"/>
    <w:basedOn w:val="Normal"/>
    <w:next w:val="Normal"/>
    <w:qFormat/>
    <w:pPr>
      <w:keepNext w:val="true"/>
      <w:numPr>
        <w:ilvl w:val="0"/>
        <w:numId w:val="1"/>
      </w:numPr>
      <w:jc w:val="both"/>
      <w:outlineLvl w:val="0"/>
    </w:pPr>
    <w:rPr>
      <w:rFonts w:ascii="Cambria" w:hAnsi="Cambria" w:cs="Cambria"/>
      <w:b/>
      <w:bCs/>
      <w:kern w:val="2"/>
      <w:sz w:val="32"/>
      <w:szCs w:val="32"/>
      <w:lang w:val="ru-RU"/>
    </w:rPr>
  </w:style>
  <w:style w:type="paragraph" w:styleId="Heading2">
    <w:name w:val="heading 2"/>
    <w:basedOn w:val="Normal"/>
    <w:next w:val="Normal"/>
    <w:qFormat/>
    <w:pPr>
      <w:keepNext w:val="true"/>
      <w:numPr>
        <w:ilvl w:val="1"/>
        <w:numId w:val="1"/>
      </w:numPr>
      <w:outlineLvl w:val="1"/>
    </w:pPr>
    <w:rPr>
      <w:rFonts w:ascii="Cambria" w:hAnsi="Cambria" w:cs="Cambria"/>
      <w:b/>
      <w:bCs/>
      <w:i/>
      <w:iCs/>
      <w:sz w:val="28"/>
      <w:szCs w:val="28"/>
      <w:lang w:val="ru-RU"/>
    </w:rPr>
  </w:style>
  <w:style w:type="paragraph" w:styleId="Heading3">
    <w:name w:val="heading 3"/>
    <w:basedOn w:val="Normal"/>
    <w:next w:val="Normal"/>
    <w:qFormat/>
    <w:pPr>
      <w:keepNext w:val="true"/>
      <w:numPr>
        <w:ilvl w:val="2"/>
        <w:numId w:val="1"/>
      </w:numPr>
      <w:jc w:val="center"/>
      <w:outlineLvl w:val="2"/>
    </w:pPr>
    <w:rPr>
      <w:rFonts w:ascii="Cambria" w:hAnsi="Cambria" w:cs="Cambria"/>
      <w:b/>
      <w:bCs/>
      <w:sz w:val="26"/>
      <w:szCs w:val="26"/>
      <w:lang w:val="ru-RU"/>
    </w:rPr>
  </w:style>
  <w:style w:type="paragraph" w:styleId="Heading4">
    <w:name w:val="heading 4"/>
    <w:basedOn w:val="Normal"/>
    <w:next w:val="Normal"/>
    <w:qFormat/>
    <w:pPr>
      <w:keepNext w:val="true"/>
      <w:numPr>
        <w:ilvl w:val="3"/>
        <w:numId w:val="1"/>
      </w:numPr>
      <w:jc w:val="both"/>
      <w:outlineLvl w:val="3"/>
    </w:pPr>
    <w:rPr>
      <w:rFonts w:ascii="Calibri" w:hAnsi="Calibri" w:cs="Calibri"/>
      <w:b/>
      <w:bCs/>
      <w:sz w:val="28"/>
      <w:szCs w:val="28"/>
      <w:lang w:val="ru-RU"/>
    </w:rPr>
  </w:style>
  <w:style w:type="paragraph" w:styleId="Heading5">
    <w:name w:val="heading 5"/>
    <w:basedOn w:val="Normal"/>
    <w:next w:val="Normal"/>
    <w:qFormat/>
    <w:pPr>
      <w:keepNext w:val="true"/>
      <w:numPr>
        <w:ilvl w:val="4"/>
        <w:numId w:val="1"/>
      </w:numPr>
      <w:jc w:val="center"/>
      <w:outlineLvl w:val="4"/>
    </w:pPr>
    <w:rPr>
      <w:rFonts w:ascii="Calibri" w:hAnsi="Calibri" w:cs="Calibri"/>
      <w:b/>
      <w:bCs/>
      <w:i/>
      <w:iCs/>
      <w:sz w:val="26"/>
      <w:szCs w:val="26"/>
      <w:lang w:val="ru-RU"/>
    </w:rPr>
  </w:style>
  <w:style w:type="paragraph" w:styleId="Heading6">
    <w:name w:val="heading 6"/>
    <w:basedOn w:val="Normal"/>
    <w:next w:val="Normal"/>
    <w:qFormat/>
    <w:pPr>
      <w:keepNext w:val="true"/>
      <w:numPr>
        <w:ilvl w:val="5"/>
        <w:numId w:val="1"/>
      </w:numPr>
      <w:jc w:val="center"/>
      <w:outlineLvl w:val="5"/>
    </w:pPr>
    <w:rPr>
      <w:rFonts w:ascii="Calibri" w:hAnsi="Calibri" w:cs="Calibri"/>
      <w:b/>
      <w:bCs/>
      <w:sz w:val="22"/>
      <w:szCs w:val="22"/>
      <w:lang w:val="ru-RU"/>
    </w:rPr>
  </w:style>
  <w:style w:type="paragraph" w:styleId="Heading7">
    <w:name w:val="heading 7"/>
    <w:basedOn w:val="Normal"/>
    <w:next w:val="Normal"/>
    <w:qFormat/>
    <w:pPr>
      <w:keepNext w:val="true"/>
      <w:numPr>
        <w:ilvl w:val="6"/>
        <w:numId w:val="1"/>
      </w:numPr>
      <w:outlineLvl w:val="6"/>
    </w:pPr>
    <w:rPr>
      <w:rFonts w:ascii="Calibri" w:hAnsi="Calibri" w:cs="Calibri"/>
      <w:sz w:val="24"/>
      <w:szCs w:val="24"/>
      <w:lang w:val="ru-RU"/>
    </w:rPr>
  </w:style>
  <w:style w:type="paragraph" w:styleId="Heading8">
    <w:name w:val="heading 8"/>
    <w:basedOn w:val="Normal"/>
    <w:next w:val="Normal"/>
    <w:qFormat/>
    <w:pPr>
      <w:keepNext w:val="true"/>
      <w:numPr>
        <w:ilvl w:val="7"/>
        <w:numId w:val="1"/>
      </w:numPr>
      <w:tabs>
        <w:tab w:val="clear" w:pos="708"/>
        <w:tab w:val="left" w:pos="8140" w:leader="none"/>
      </w:tabs>
      <w:jc w:val="end"/>
      <w:outlineLvl w:val="7"/>
    </w:pPr>
    <w:rPr>
      <w:rFonts w:ascii="Calibri" w:hAnsi="Calibri" w:cs="Calibri"/>
      <w:i/>
      <w:iCs/>
      <w:sz w:val="24"/>
      <w:szCs w:val="24"/>
      <w:lang w:val="ru-RU"/>
    </w:rPr>
  </w:style>
  <w:style w:type="character" w:styleId="WW8Num2z0">
    <w:name w:val="WW8Num2z0"/>
    <w:qFormat/>
    <w:rPr/>
  </w:style>
  <w:style w:type="character" w:styleId="WW8Num3z0">
    <w:name w:val="WW8Num3z0"/>
    <w:qFormat/>
    <w:rPr/>
  </w:style>
  <w:style w:type="character" w:styleId="WW8Num3z1">
    <w:name w:val="WW8Num3z1"/>
    <w:qFormat/>
    <w:rPr>
      <w:b w:val="false"/>
      <w:i w:val="false"/>
    </w:rPr>
  </w:style>
  <w:style w:type="character" w:styleId="WW8Num4z0">
    <w:name w:val="WW8Num4z0"/>
    <w:qFormat/>
    <w:rPr>
      <w:rFonts w:ascii="Symbol" w:hAnsi="Symbol" w:cs="Symbol"/>
    </w:rPr>
  </w:style>
  <w:style w:type="character" w:styleId="WW8Num5z0">
    <w:name w:val="WW8Num5z0"/>
    <w:qFormat/>
    <w:rPr>
      <w:rFonts w:ascii="Symbol" w:hAnsi="Symbol" w:cs="Symbol"/>
    </w:rPr>
  </w:style>
  <w:style w:type="character" w:styleId="Style6">
    <w:name w:val="Основной шрифт абзаца"/>
    <w:qFormat/>
    <w:rPr/>
  </w:style>
  <w:style w:type="character" w:styleId="WW8Num6z0">
    <w:name w:val="WW8Num6z0"/>
    <w:qFormat/>
    <w:rPr/>
  </w:style>
  <w:style w:type="character" w:styleId="WW8Num7z0">
    <w:name w:val="WW8Num7z0"/>
    <w:qFormat/>
    <w:rPr/>
  </w:style>
  <w:style w:type="character" w:styleId="9">
    <w:name w:val="Основной шрифт абзаца9"/>
    <w:qFormat/>
    <w:rPr/>
  </w:style>
  <w:style w:type="character" w:styleId="8">
    <w:name w:val="Основной шрифт абзаца8"/>
    <w:qFormat/>
    <w:rPr/>
  </w:style>
  <w:style w:type="character" w:styleId="7">
    <w:name w:val="Основной шрифт абзаца7"/>
    <w:qFormat/>
    <w:rPr/>
  </w:style>
  <w:style w:type="character" w:styleId="6">
    <w:name w:val="Основной шрифт абзаца6"/>
    <w:qFormat/>
    <w:rPr/>
  </w:style>
  <w:style w:type="character" w:styleId="5">
    <w:name w:val="Основной шрифт абзаца5"/>
    <w:qFormat/>
    <w:rPr/>
  </w:style>
  <w:style w:type="character" w:styleId="4">
    <w:name w:val="Основной шрифт абзаца4"/>
    <w:qFormat/>
    <w:rPr/>
  </w:style>
  <w:style w:type="character" w:styleId="3">
    <w:name w:val="Основной шрифт абзаца3"/>
    <w:qFormat/>
    <w:rPr/>
  </w:style>
  <w:style w:type="character" w:styleId="2">
    <w:name w:val="Основной шрифт абзаца2"/>
    <w:qFormat/>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3z2">
    <w:name w:val="WW8Num3z2"/>
    <w:qFormat/>
    <w:rPr>
      <w:rFonts w:ascii="Wingdings" w:hAnsi="Wingdings" w:cs="Wingdings"/>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style>
  <w:style w:type="character" w:styleId="WW8Num9z1">
    <w:name w:val="WW8Num9z1"/>
    <w:qFormat/>
    <w:rPr>
      <w:b w:val="false"/>
      <w:i w:val="false"/>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style>
  <w:style w:type="character" w:styleId="WW8Num16z0">
    <w:name w:val="WW8Num16z0"/>
    <w:qFormat/>
    <w:rPr>
      <w:rFonts w:cs="Times New Roman"/>
    </w:rPr>
  </w:style>
  <w:style w:type="character" w:styleId="WW8Num16z1">
    <w:name w:val="WW8Num16z1"/>
    <w:qFormat/>
    <w:rPr>
      <w:rFonts w:cs="Times New Roman"/>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rFonts w:ascii="Symbol" w:hAnsi="Symbol" w:cs="Symbol"/>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rFonts w:ascii="Symbol" w:hAnsi="Symbol" w:cs="Symbo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Times New Roman" w:hAnsi="Times New Roman" w:eastAsia="Times New Roman" w:cs="Times New Roman"/>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1">
    <w:name w:val="Основной шрифт абзаца1"/>
    <w:qFormat/>
    <w:rPr/>
  </w:style>
  <w:style w:type="character" w:styleId="11">
    <w:name w:val="Заголовок 1 Знак"/>
    <w:qFormat/>
    <w:rPr>
      <w:rFonts w:ascii="Cambria" w:hAnsi="Cambria" w:eastAsia="Times New Roman" w:cs="Times New Roman"/>
      <w:b/>
      <w:bCs/>
      <w:kern w:val="2"/>
      <w:sz w:val="32"/>
      <w:szCs w:val="32"/>
    </w:rPr>
  </w:style>
  <w:style w:type="character" w:styleId="21">
    <w:name w:val="Заголовок 2 Знак"/>
    <w:qFormat/>
    <w:rPr>
      <w:rFonts w:ascii="Cambria" w:hAnsi="Cambria" w:eastAsia="Times New Roman" w:cs="Times New Roman"/>
      <w:b/>
      <w:bCs/>
      <w:i/>
      <w:iCs/>
      <w:sz w:val="28"/>
      <w:szCs w:val="28"/>
    </w:rPr>
  </w:style>
  <w:style w:type="character" w:styleId="31">
    <w:name w:val="Заголовок 3 Знак"/>
    <w:qFormat/>
    <w:rPr>
      <w:rFonts w:ascii="Cambria" w:hAnsi="Cambria" w:eastAsia="Times New Roman" w:cs="Times New Roman"/>
      <w:b/>
      <w:bCs/>
      <w:sz w:val="26"/>
      <w:szCs w:val="26"/>
    </w:rPr>
  </w:style>
  <w:style w:type="character" w:styleId="41">
    <w:name w:val="Заголовок 4 Знак"/>
    <w:qFormat/>
    <w:rPr>
      <w:rFonts w:ascii="Calibri" w:hAnsi="Calibri" w:eastAsia="Times New Roman" w:cs="Times New Roman"/>
      <w:b/>
      <w:bCs/>
      <w:sz w:val="28"/>
      <w:szCs w:val="28"/>
    </w:rPr>
  </w:style>
  <w:style w:type="character" w:styleId="51">
    <w:name w:val="Заголовок 5 Знак"/>
    <w:qFormat/>
    <w:rPr>
      <w:rFonts w:ascii="Calibri" w:hAnsi="Calibri" w:eastAsia="Times New Roman" w:cs="Times New Roman"/>
      <w:b/>
      <w:bCs/>
      <w:i/>
      <w:iCs/>
      <w:sz w:val="26"/>
      <w:szCs w:val="26"/>
    </w:rPr>
  </w:style>
  <w:style w:type="character" w:styleId="61">
    <w:name w:val="Заголовок 6 Знак"/>
    <w:qFormat/>
    <w:rPr>
      <w:rFonts w:ascii="Calibri" w:hAnsi="Calibri" w:eastAsia="Times New Roman" w:cs="Times New Roman"/>
      <w:b/>
      <w:bCs/>
      <w:sz w:val="22"/>
      <w:szCs w:val="22"/>
    </w:rPr>
  </w:style>
  <w:style w:type="character" w:styleId="71">
    <w:name w:val="Заголовок 7 Знак"/>
    <w:qFormat/>
    <w:rPr>
      <w:rFonts w:ascii="Calibri" w:hAnsi="Calibri" w:eastAsia="Times New Roman" w:cs="Times New Roman"/>
      <w:sz w:val="24"/>
      <w:szCs w:val="24"/>
    </w:rPr>
  </w:style>
  <w:style w:type="character" w:styleId="81">
    <w:name w:val="Заголовок 8 Знак"/>
    <w:qFormat/>
    <w:rPr>
      <w:rFonts w:ascii="Calibri" w:hAnsi="Calibri" w:eastAsia="Times New Roman" w:cs="Times New Roman"/>
      <w:i/>
      <w:iCs/>
      <w:sz w:val="24"/>
      <w:szCs w:val="24"/>
    </w:rPr>
  </w:style>
  <w:style w:type="character" w:styleId="Style7">
    <w:name w:val="Основной текст с отступом Знак"/>
    <w:qFormat/>
    <w:rPr>
      <w:rFonts w:cs="Times New Roman"/>
    </w:rPr>
  </w:style>
  <w:style w:type="character" w:styleId="Style8">
    <w:name w:val="Название Знак"/>
    <w:qFormat/>
    <w:rPr>
      <w:rFonts w:ascii="Cambria" w:hAnsi="Cambria" w:eastAsia="Times New Roman" w:cs="Times New Roman"/>
      <w:b/>
      <w:bCs/>
      <w:kern w:val="2"/>
      <w:sz w:val="32"/>
      <w:szCs w:val="32"/>
    </w:rPr>
  </w:style>
  <w:style w:type="character" w:styleId="Style9">
    <w:name w:val="Подзаголовок Знак"/>
    <w:qFormat/>
    <w:rPr>
      <w:rFonts w:ascii="Cambria" w:hAnsi="Cambria" w:eastAsia="Times New Roman" w:cs="Times New Roman"/>
      <w:sz w:val="24"/>
      <w:szCs w:val="24"/>
    </w:rPr>
  </w:style>
  <w:style w:type="character" w:styleId="Style10">
    <w:name w:val="Основной текст Знак"/>
    <w:qFormat/>
    <w:rPr>
      <w:rFonts w:cs="Times New Roman"/>
    </w:rPr>
  </w:style>
  <w:style w:type="character" w:styleId="22">
    <w:name w:val="Основной текст 2 Знак"/>
    <w:qFormat/>
    <w:rPr>
      <w:rFonts w:cs="Times New Roman"/>
      <w:sz w:val="28"/>
    </w:rPr>
  </w:style>
  <w:style w:type="character" w:styleId="Style11">
    <w:name w:val="Текст выноски Знак"/>
    <w:qFormat/>
    <w:rPr>
      <w:rFonts w:ascii="Tahoma" w:hAnsi="Tahoma" w:cs="Tahoma"/>
      <w:sz w:val="16"/>
      <w:szCs w:val="16"/>
    </w:rPr>
  </w:style>
  <w:style w:type="character" w:styleId="23">
    <w:name w:val="Основной текст с отступом 2 Знак"/>
    <w:qFormat/>
    <w:rPr>
      <w:rFonts w:cs="Times New Roman"/>
    </w:rPr>
  </w:style>
  <w:style w:type="character" w:styleId="Style12">
    <w:name w:val="Текст сноски Знак"/>
    <w:qFormat/>
    <w:rPr>
      <w:rFonts w:ascii="Calibri" w:hAnsi="Calibri" w:cs="Times New Roman"/>
      <w:lang w:val="ru-RU"/>
    </w:rPr>
  </w:style>
  <w:style w:type="character" w:styleId="Style13">
    <w:name w:val="Символ сноски"/>
    <w:qFormat/>
    <w:rPr>
      <w:rFonts w:cs="Times New Roman"/>
      <w:vertAlign w:val="superscript"/>
    </w:rPr>
  </w:style>
  <w:style w:type="character" w:styleId="12">
    <w:name w:val="Знак примечания1"/>
    <w:qFormat/>
    <w:rPr>
      <w:rFonts w:cs="Times New Roman"/>
      <w:sz w:val="16"/>
      <w:szCs w:val="16"/>
    </w:rPr>
  </w:style>
  <w:style w:type="character" w:styleId="Style14">
    <w:name w:val="Текст примечания Знак"/>
    <w:qFormat/>
    <w:rPr>
      <w:rFonts w:cs="Times New Roman"/>
    </w:rPr>
  </w:style>
  <w:style w:type="character" w:styleId="Style15">
    <w:name w:val="Тема примечания Знак"/>
    <w:qFormat/>
    <w:rPr>
      <w:rFonts w:cs="Times New Roman"/>
      <w:b/>
      <w:bCs/>
    </w:rPr>
  </w:style>
  <w:style w:type="character" w:styleId="Hyperlink">
    <w:name w:val="Hyperlink"/>
    <w:rPr>
      <w:rFonts w:cs="Times New Roman"/>
      <w:color w:val="0000FF"/>
      <w:u w:val="single"/>
    </w:rPr>
  </w:style>
  <w:style w:type="character" w:styleId="SUBST">
    <w:name w:val="__SUBST"/>
    <w:qFormat/>
    <w:rPr>
      <w:b/>
      <w:i/>
      <w:sz w:val="20"/>
    </w:rPr>
  </w:style>
  <w:style w:type="character" w:styleId="Style16">
    <w:name w:val="Текст Знак"/>
    <w:qFormat/>
    <w:rPr>
      <w:rFonts w:ascii="Consolas" w:hAnsi="Consolas" w:cs="Times New Roman"/>
      <w:sz w:val="21"/>
      <w:szCs w:val="21"/>
      <w:lang w:val="ru-RU"/>
    </w:rPr>
  </w:style>
  <w:style w:type="character" w:styleId="Style17">
    <w:name w:val="Верхний колонтитул Знак"/>
    <w:qFormat/>
    <w:rPr>
      <w:rFonts w:cs="Times New Roman"/>
    </w:rPr>
  </w:style>
  <w:style w:type="character" w:styleId="Style18">
    <w:name w:val="Нижний колонтитул Знак"/>
    <w:qFormat/>
    <w:rPr>
      <w:rFonts w:cs="Times New Roman"/>
    </w:rPr>
  </w:style>
  <w:style w:type="character" w:styleId="PageNumber">
    <w:name w:val="page number"/>
    <w:rPr>
      <w:rFonts w:cs="Times New Roman"/>
    </w:rPr>
  </w:style>
  <w:style w:type="character" w:styleId="Style19">
    <w:name w:val="Схема документа Знак"/>
    <w:qFormat/>
    <w:rPr>
      <w:rFonts w:ascii="Tahoma" w:hAnsi="Tahoma" w:cs="Tahoma"/>
      <w:shd w:fill="000080" w:val="clear"/>
    </w:rPr>
  </w:style>
  <w:style w:type="character" w:styleId="FollowedHyperlink">
    <w:name w:val="FollowedHyperlink"/>
    <w:rPr>
      <w:rFonts w:cs="Times New Roman"/>
      <w:color w:val="800080"/>
      <w:u w:val="single"/>
    </w:rPr>
  </w:style>
  <w:style w:type="character" w:styleId="Text33Char">
    <w:name w:val="Text 33 Char"/>
    <w:basedOn w:val="1"/>
    <w:qFormat/>
    <w:rPr/>
  </w:style>
  <w:style w:type="character" w:styleId="32">
    <w:name w:val="Основной текст 3 Знак"/>
    <w:qFormat/>
    <w:rPr>
      <w:sz w:val="16"/>
      <w:szCs w:val="16"/>
    </w:rPr>
  </w:style>
  <w:style w:type="character" w:styleId="Style20">
    <w:name w:val="Гипертекстовая ссылка"/>
    <w:qFormat/>
    <w:rPr>
      <w:color w:val="106BBE"/>
    </w:rPr>
  </w:style>
  <w:style w:type="character" w:styleId="head2Char">
    <w:name w:val="head2 Char"/>
    <w:qFormat/>
    <w:rPr>
      <w:b/>
      <w:lang w:val="ru-RU"/>
    </w:rPr>
  </w:style>
  <w:style w:type="character" w:styleId="Level3Char">
    <w:name w:val="Level3 Char"/>
    <w:qFormat/>
    <w:rPr>
      <w:b/>
      <w:lang w:val="ru-RU"/>
    </w:rPr>
  </w:style>
  <w:style w:type="character" w:styleId="211">
    <w:name w:val="Основной текст с отступом 2 Знак1"/>
    <w:qFormat/>
    <w:rPr>
      <w:lang w:eastAsia="zh-CN"/>
    </w:rPr>
  </w:style>
  <w:style w:type="character" w:styleId="Subst1">
    <w:name w:val="Subst"/>
    <w:qFormat/>
    <w:rPr>
      <w:b/>
      <w:i/>
    </w:rPr>
  </w:style>
  <w:style w:type="paragraph" w:styleId="Style21">
    <w:name w:val="Заголовок"/>
    <w:basedOn w:val="Normal"/>
    <w:next w:val="BodyText"/>
    <w:qFormat/>
    <w:pPr>
      <w:keepNext w:val="true"/>
      <w:spacing w:before="240" w:after="120"/>
    </w:pPr>
    <w:rPr>
      <w:rFonts w:ascii="Liberation Sans;Arial" w:hAnsi="Liberation Sans;Arial" w:eastAsia="Tahoma" w:cs="Droid Sans;Times New Roman"/>
      <w:sz w:val="28"/>
      <w:szCs w:val="28"/>
    </w:rPr>
  </w:style>
  <w:style w:type="paragraph" w:styleId="BodyText">
    <w:name w:val="Body Text"/>
    <w:basedOn w:val="Normal"/>
    <w:pPr/>
    <w:rPr>
      <w:lang w:val="ru-RU"/>
    </w:rPr>
  </w:style>
  <w:style w:type="paragraph" w:styleId="List">
    <w:name w:val="List"/>
    <w:basedOn w:val="BodyText"/>
    <w:pPr/>
    <w:rPr>
      <w:rFonts w:cs="Droid Sans;Times New Roman"/>
    </w:rPr>
  </w:style>
  <w:style w:type="paragraph" w:styleId="Caption">
    <w:name w:val="caption"/>
    <w:basedOn w:val="Normal"/>
    <w:qFormat/>
    <w:pPr>
      <w:suppressLineNumbers/>
      <w:spacing w:before="120" w:after="120"/>
    </w:pPr>
    <w:rPr>
      <w:rFonts w:cs="Droid Sans"/>
      <w:i/>
      <w:iCs/>
      <w:sz w:val="24"/>
      <w:szCs w:val="24"/>
    </w:rPr>
  </w:style>
  <w:style w:type="paragraph" w:styleId="Style22">
    <w:name w:val="Указатель"/>
    <w:basedOn w:val="Normal"/>
    <w:qFormat/>
    <w:pPr>
      <w:suppressLineNumbers/>
    </w:pPr>
    <w:rPr>
      <w:rFonts w:cs="Droid Sans"/>
    </w:rPr>
  </w:style>
  <w:style w:type="paragraph" w:styleId="Style23">
    <w:name w:val="Название объекта"/>
    <w:basedOn w:val="Normal"/>
    <w:qFormat/>
    <w:pPr>
      <w:suppressLineNumbers/>
      <w:spacing w:before="120" w:after="120"/>
    </w:pPr>
    <w:rPr>
      <w:rFonts w:cs="Droid Sans;Times New Roman"/>
      <w:i/>
      <w:iCs/>
      <w:sz w:val="24"/>
      <w:szCs w:val="24"/>
    </w:rPr>
  </w:style>
  <w:style w:type="paragraph" w:styleId="91">
    <w:name w:val="Указатель9"/>
    <w:basedOn w:val="Normal"/>
    <w:qFormat/>
    <w:pPr>
      <w:suppressLineNumbers/>
    </w:pPr>
    <w:rPr>
      <w:rFonts w:cs="Droid Sans;Times New Roman"/>
    </w:rPr>
  </w:style>
  <w:style w:type="paragraph" w:styleId="82">
    <w:name w:val="Название объекта8"/>
    <w:basedOn w:val="Normal"/>
    <w:qFormat/>
    <w:pPr>
      <w:suppressLineNumbers/>
      <w:spacing w:before="120" w:after="120"/>
    </w:pPr>
    <w:rPr>
      <w:rFonts w:cs="Droid Sans;Times New Roman"/>
      <w:i/>
      <w:iCs/>
      <w:sz w:val="24"/>
      <w:szCs w:val="24"/>
    </w:rPr>
  </w:style>
  <w:style w:type="paragraph" w:styleId="83">
    <w:name w:val="Указатель8"/>
    <w:basedOn w:val="Normal"/>
    <w:qFormat/>
    <w:pPr>
      <w:suppressLineNumbers/>
    </w:pPr>
    <w:rPr>
      <w:rFonts w:cs="Droid Sans;Times New Roman"/>
    </w:rPr>
  </w:style>
  <w:style w:type="paragraph" w:styleId="72">
    <w:name w:val="Название объекта7"/>
    <w:basedOn w:val="Normal"/>
    <w:qFormat/>
    <w:pPr>
      <w:suppressLineNumbers/>
      <w:spacing w:before="120" w:after="120"/>
    </w:pPr>
    <w:rPr>
      <w:rFonts w:cs="Droid Sans;Times New Roman"/>
      <w:i/>
      <w:iCs/>
      <w:sz w:val="24"/>
      <w:szCs w:val="24"/>
    </w:rPr>
  </w:style>
  <w:style w:type="paragraph" w:styleId="73">
    <w:name w:val="Указатель7"/>
    <w:basedOn w:val="Normal"/>
    <w:qFormat/>
    <w:pPr>
      <w:suppressLineNumbers/>
    </w:pPr>
    <w:rPr>
      <w:rFonts w:cs="Droid Sans;Times New Roman"/>
    </w:rPr>
  </w:style>
  <w:style w:type="paragraph" w:styleId="caption1">
    <w:name w:val="caption1"/>
    <w:basedOn w:val="Normal"/>
    <w:qFormat/>
    <w:pPr>
      <w:suppressLineNumbers/>
      <w:spacing w:before="120" w:after="120"/>
    </w:pPr>
    <w:rPr>
      <w:rFonts w:cs="Droid Sans;Times New Roman"/>
      <w:i/>
      <w:iCs/>
      <w:sz w:val="24"/>
      <w:szCs w:val="24"/>
    </w:rPr>
  </w:style>
  <w:style w:type="paragraph" w:styleId="caption11">
    <w:name w:val="caption11"/>
    <w:basedOn w:val="Normal"/>
    <w:qFormat/>
    <w:pPr>
      <w:suppressLineNumbers/>
      <w:spacing w:before="120" w:after="120"/>
    </w:pPr>
    <w:rPr>
      <w:rFonts w:cs="Droid Sans;Times New Roman"/>
      <w:i/>
      <w:iCs/>
      <w:sz w:val="24"/>
      <w:szCs w:val="24"/>
    </w:rPr>
  </w:style>
  <w:style w:type="paragraph" w:styleId="62">
    <w:name w:val="Название объекта6"/>
    <w:basedOn w:val="Normal"/>
    <w:qFormat/>
    <w:pPr>
      <w:suppressLineNumbers/>
      <w:spacing w:before="120" w:after="120"/>
    </w:pPr>
    <w:rPr>
      <w:rFonts w:cs="Droid Sans;Times New Roman"/>
      <w:i/>
      <w:iCs/>
      <w:sz w:val="24"/>
      <w:szCs w:val="24"/>
    </w:rPr>
  </w:style>
  <w:style w:type="paragraph" w:styleId="63">
    <w:name w:val="Указатель6"/>
    <w:basedOn w:val="Normal"/>
    <w:qFormat/>
    <w:pPr>
      <w:suppressLineNumbers/>
    </w:pPr>
    <w:rPr>
      <w:rFonts w:cs="Droid Sans;Times New Roman"/>
    </w:rPr>
  </w:style>
  <w:style w:type="paragraph" w:styleId="52">
    <w:name w:val="Название объекта5"/>
    <w:basedOn w:val="Normal"/>
    <w:qFormat/>
    <w:pPr>
      <w:suppressLineNumbers/>
      <w:spacing w:before="120" w:after="120"/>
    </w:pPr>
    <w:rPr>
      <w:rFonts w:cs="Droid Sans;Times New Roman"/>
      <w:i/>
      <w:iCs/>
      <w:sz w:val="24"/>
      <w:szCs w:val="24"/>
    </w:rPr>
  </w:style>
  <w:style w:type="paragraph" w:styleId="53">
    <w:name w:val="Указатель5"/>
    <w:basedOn w:val="Normal"/>
    <w:qFormat/>
    <w:pPr>
      <w:suppressLineNumbers/>
    </w:pPr>
    <w:rPr>
      <w:rFonts w:cs="Droid Sans;Times New Roman"/>
    </w:rPr>
  </w:style>
  <w:style w:type="paragraph" w:styleId="caption111">
    <w:name w:val="caption111"/>
    <w:basedOn w:val="Normal"/>
    <w:qFormat/>
    <w:pPr>
      <w:suppressLineNumbers/>
      <w:spacing w:before="120" w:after="120"/>
    </w:pPr>
    <w:rPr>
      <w:rFonts w:cs="Droid Sans;Times New Roman"/>
      <w:i/>
      <w:iCs/>
      <w:sz w:val="24"/>
      <w:szCs w:val="24"/>
    </w:rPr>
  </w:style>
  <w:style w:type="paragraph" w:styleId="caption1111">
    <w:name w:val="caption1111"/>
    <w:basedOn w:val="Normal"/>
    <w:qFormat/>
    <w:pPr>
      <w:suppressLineNumbers/>
      <w:spacing w:before="120" w:after="120"/>
    </w:pPr>
    <w:rPr>
      <w:rFonts w:cs="Droid Sans;Times New Roman"/>
      <w:i/>
      <w:iCs/>
      <w:sz w:val="24"/>
      <w:szCs w:val="24"/>
    </w:rPr>
  </w:style>
  <w:style w:type="paragraph" w:styleId="13">
    <w:name w:val="Заголовок1"/>
    <w:basedOn w:val="Normal"/>
    <w:next w:val="BodyText"/>
    <w:qFormat/>
    <w:pPr>
      <w:jc w:val="center"/>
    </w:pPr>
    <w:rPr>
      <w:rFonts w:ascii="Cambria" w:hAnsi="Cambria" w:cs="Cambria"/>
      <w:b/>
      <w:bCs/>
      <w:kern w:val="2"/>
      <w:sz w:val="32"/>
      <w:szCs w:val="32"/>
      <w:lang w:val="ru-RU"/>
    </w:rPr>
  </w:style>
  <w:style w:type="paragraph" w:styleId="42">
    <w:name w:val="Название объекта4"/>
    <w:basedOn w:val="Normal"/>
    <w:qFormat/>
    <w:pPr>
      <w:suppressLineNumbers/>
      <w:spacing w:before="120" w:after="120"/>
    </w:pPr>
    <w:rPr>
      <w:rFonts w:cs="Droid Sans;Times New Roman"/>
      <w:i/>
      <w:iCs/>
      <w:sz w:val="24"/>
      <w:szCs w:val="24"/>
    </w:rPr>
  </w:style>
  <w:style w:type="paragraph" w:styleId="43">
    <w:name w:val="Указатель4"/>
    <w:basedOn w:val="Normal"/>
    <w:qFormat/>
    <w:pPr>
      <w:suppressLineNumbers/>
    </w:pPr>
    <w:rPr>
      <w:rFonts w:cs="Droid Sans;Times New Roman"/>
    </w:rPr>
  </w:style>
  <w:style w:type="paragraph" w:styleId="caption11111">
    <w:name w:val="caption11111"/>
    <w:basedOn w:val="Normal"/>
    <w:qFormat/>
    <w:pPr>
      <w:suppressLineNumbers/>
      <w:spacing w:before="120" w:after="120"/>
    </w:pPr>
    <w:rPr>
      <w:rFonts w:cs="Droid Sans;Times New Roman"/>
      <w:i/>
      <w:iCs/>
      <w:sz w:val="24"/>
      <w:szCs w:val="24"/>
    </w:rPr>
  </w:style>
  <w:style w:type="paragraph" w:styleId="33">
    <w:name w:val="Название объекта3"/>
    <w:basedOn w:val="Normal"/>
    <w:qFormat/>
    <w:pPr>
      <w:suppressLineNumbers/>
      <w:spacing w:before="120" w:after="120"/>
    </w:pPr>
    <w:rPr>
      <w:rFonts w:cs="Droid Sans;Times New Roman"/>
      <w:i/>
      <w:iCs/>
      <w:sz w:val="24"/>
      <w:szCs w:val="24"/>
    </w:rPr>
  </w:style>
  <w:style w:type="paragraph" w:styleId="34">
    <w:name w:val="Указатель3"/>
    <w:basedOn w:val="Normal"/>
    <w:qFormat/>
    <w:pPr>
      <w:suppressLineNumbers/>
    </w:pPr>
    <w:rPr>
      <w:rFonts w:cs="Droid Sans;Times New Roman"/>
    </w:rPr>
  </w:style>
  <w:style w:type="paragraph" w:styleId="24">
    <w:name w:val="Название объекта2"/>
    <w:basedOn w:val="Normal"/>
    <w:qFormat/>
    <w:pPr>
      <w:suppressLineNumbers/>
      <w:spacing w:before="120" w:after="120"/>
    </w:pPr>
    <w:rPr>
      <w:rFonts w:cs="Droid Sans;Times New Roman"/>
      <w:i/>
      <w:iCs/>
      <w:sz w:val="24"/>
      <w:szCs w:val="24"/>
    </w:rPr>
  </w:style>
  <w:style w:type="paragraph" w:styleId="25">
    <w:name w:val="Указатель2"/>
    <w:basedOn w:val="Normal"/>
    <w:qFormat/>
    <w:pPr>
      <w:suppressLineNumbers/>
    </w:pPr>
    <w:rPr>
      <w:rFonts w:cs="Droid Sans;Times New Roman"/>
    </w:rPr>
  </w:style>
  <w:style w:type="paragraph" w:styleId="14">
    <w:name w:val="Название объекта1"/>
    <w:basedOn w:val="Normal"/>
    <w:qFormat/>
    <w:pPr>
      <w:suppressLineNumbers/>
      <w:spacing w:before="120" w:after="120"/>
    </w:pPr>
    <w:rPr>
      <w:rFonts w:cs="Droid Sans;Times New Roman"/>
      <w:i/>
      <w:iCs/>
      <w:sz w:val="24"/>
      <w:szCs w:val="24"/>
    </w:rPr>
  </w:style>
  <w:style w:type="paragraph" w:styleId="15">
    <w:name w:val="Указатель1"/>
    <w:basedOn w:val="Normal"/>
    <w:qFormat/>
    <w:pPr>
      <w:suppressLineNumbers/>
    </w:pPr>
    <w:rPr>
      <w:rFonts w:cs="Droid Sans;Times New Roman"/>
    </w:rPr>
  </w:style>
  <w:style w:type="paragraph" w:styleId="BodyTextIndent">
    <w:name w:val="Body Text Indent"/>
    <w:basedOn w:val="Normal"/>
    <w:pPr>
      <w:ind w:firstLine="708" w:start="0" w:end="0"/>
      <w:jc w:val="both"/>
    </w:pPr>
    <w:rPr>
      <w:lang w:val="ru-RU"/>
    </w:rPr>
  </w:style>
  <w:style w:type="paragraph" w:styleId="Subtitle">
    <w:name w:val="Subtitle"/>
    <w:basedOn w:val="Normal"/>
    <w:next w:val="BodyText"/>
    <w:qFormat/>
    <w:pPr>
      <w:ind w:hanging="0" w:start="-1134" w:end="0"/>
      <w:jc w:val="center"/>
    </w:pPr>
    <w:rPr>
      <w:rFonts w:ascii="Cambria" w:hAnsi="Cambria" w:cs="Cambria"/>
      <w:sz w:val="24"/>
      <w:szCs w:val="24"/>
      <w:lang w:val="ru-RU"/>
    </w:rPr>
  </w:style>
  <w:style w:type="paragraph" w:styleId="212">
    <w:name w:val="Основной текст 21"/>
    <w:basedOn w:val="Normal"/>
    <w:qFormat/>
    <w:pPr/>
    <w:rPr>
      <w:sz w:val="28"/>
      <w:lang w:val="ru-RU"/>
    </w:rPr>
  </w:style>
  <w:style w:type="paragraph" w:styleId="Style24">
    <w:name w:val="Текст выноски"/>
    <w:basedOn w:val="Normal"/>
    <w:qFormat/>
    <w:pPr/>
    <w:rPr>
      <w:rFonts w:ascii="Tahoma" w:hAnsi="Tahoma" w:cs="Tahoma"/>
      <w:sz w:val="16"/>
      <w:szCs w:val="16"/>
      <w:lang w:val="ru-RU"/>
    </w:rPr>
  </w:style>
  <w:style w:type="paragraph" w:styleId="221">
    <w:name w:val="Основной текст с отступом 22"/>
    <w:basedOn w:val="Normal"/>
    <w:qFormat/>
    <w:pPr>
      <w:spacing w:lineRule="auto" w:line="480" w:before="0" w:after="120"/>
      <w:ind w:hanging="0" w:start="283" w:end="0"/>
    </w:pPr>
    <w:rPr>
      <w:lang w:val="ru-RU"/>
    </w:rPr>
  </w:style>
  <w:style w:type="paragraph" w:styleId="Style25">
    <w:name w:val="Список определений"/>
    <w:basedOn w:val="Normal"/>
    <w:next w:val="Normal"/>
    <w:qFormat/>
    <w:pPr>
      <w:snapToGrid w:val="false"/>
      <w:ind w:hanging="0" w:start="360" w:end="0"/>
    </w:pPr>
    <w:rPr>
      <w:sz w:val="24"/>
    </w:rPr>
  </w:style>
  <w:style w:type="paragraph" w:styleId="Style26">
    <w:name w:val="Без интервала"/>
    <w:qFormat/>
    <w:pPr>
      <w:widowControl/>
      <w:suppressAutoHyphens w:val="true"/>
      <w:bidi w:val="0"/>
    </w:pPr>
    <w:rPr>
      <w:rFonts w:ascii="Times New Roman" w:hAnsi="Times New Roman" w:eastAsia="Times New Roman" w:cs="Times New Roman"/>
      <w:color w:val="auto"/>
      <w:sz w:val="24"/>
      <w:szCs w:val="24"/>
      <w:lang w:val="ru-RU" w:eastAsia="zh-CN" w:bidi="ar-SA"/>
    </w:rPr>
  </w:style>
  <w:style w:type="paragraph" w:styleId="Style27">
    <w:name w:val="Абзац списка"/>
    <w:basedOn w:val="Normal"/>
    <w:qFormat/>
    <w:pPr>
      <w:spacing w:before="0" w:after="0"/>
      <w:ind w:hanging="0" w:start="720" w:end="0"/>
      <w:contextualSpacing/>
    </w:pPr>
    <w:rPr/>
  </w:style>
  <w:style w:type="paragraph" w:styleId="FootnoteText">
    <w:name w:val="footnote text"/>
    <w:basedOn w:val="Normal"/>
    <w:pPr>
      <w:spacing w:lineRule="auto" w:line="276" w:before="0" w:after="200"/>
    </w:pPr>
    <w:rPr>
      <w:rFonts w:ascii="Calibri" w:hAnsi="Calibri" w:cs="Calibri"/>
      <w:lang w:val="ru-RU"/>
    </w:rPr>
  </w:style>
  <w:style w:type="paragraph" w:styleId="16">
    <w:name w:val="Текст примечания1"/>
    <w:basedOn w:val="Normal"/>
    <w:qFormat/>
    <w:pPr/>
    <w:rPr>
      <w:lang w:val="ru-RU"/>
    </w:rPr>
  </w:style>
  <w:style w:type="paragraph" w:styleId="Style28">
    <w:name w:val="Тема примечания"/>
    <w:basedOn w:val="16"/>
    <w:next w:val="16"/>
    <w:qFormat/>
    <w:pPr/>
    <w:rPr>
      <w:b/>
      <w:bCs/>
    </w:rPr>
  </w:style>
  <w:style w:type="paragraph" w:styleId="ConsNonformat">
    <w:name w:val="ConsNonformat"/>
    <w:qFormat/>
    <w:pPr>
      <w:widowControl w:val="false"/>
      <w:suppressAutoHyphens w:val="true"/>
      <w:autoSpaceDE w:val="false"/>
      <w:bidi w:val="0"/>
      <w:ind w:hanging="0" w:start="0" w:end="19772"/>
    </w:pPr>
    <w:rPr>
      <w:rFonts w:ascii="Courier New" w:hAnsi="Courier New" w:eastAsia="Times New Roman" w:cs="Courier New"/>
      <w:color w:val="auto"/>
      <w:sz w:val="20"/>
      <w:szCs w:val="20"/>
      <w:lang w:val="ru-RU" w:eastAsia="zh-CN" w:bidi="ar-SA"/>
    </w:rPr>
  </w:style>
  <w:style w:type="paragraph" w:styleId="ConsCell">
    <w:name w:val="ConsCell"/>
    <w:qFormat/>
    <w:pPr>
      <w:widowControl w:val="false"/>
      <w:suppressAutoHyphens w:val="true"/>
      <w:autoSpaceDE w:val="false"/>
      <w:bidi w:val="0"/>
      <w:ind w:hanging="0" w:start="0" w:end="19772"/>
    </w:pPr>
    <w:rPr>
      <w:rFonts w:ascii="Arial" w:hAnsi="Arial" w:eastAsia="Times New Roman" w:cs="Arial"/>
      <w:color w:val="auto"/>
      <w:sz w:val="20"/>
      <w:szCs w:val="20"/>
      <w:lang w:val="ru-RU" w:eastAsia="zh-CN" w:bidi="ar-SA"/>
    </w:rPr>
  </w:style>
  <w:style w:type="paragraph" w:styleId="17">
    <w:name w:val="Текст1"/>
    <w:basedOn w:val="Normal"/>
    <w:qFormat/>
    <w:pPr/>
    <w:rPr>
      <w:rFonts w:ascii="Consolas" w:hAnsi="Consolas" w:cs="Consolas"/>
      <w:sz w:val="21"/>
      <w:szCs w:val="21"/>
      <w:lang w:val="ru-RU"/>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Style29">
    <w:name w:val="Колонтитулы"/>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lang w:val="ru-RU"/>
    </w:rPr>
  </w:style>
  <w:style w:type="paragraph" w:styleId="Footer">
    <w:name w:val="footer"/>
    <w:basedOn w:val="Normal"/>
    <w:pPr>
      <w:tabs>
        <w:tab w:val="clear" w:pos="708"/>
        <w:tab w:val="center" w:pos="4677" w:leader="none"/>
        <w:tab w:val="right" w:pos="9355" w:leader="none"/>
      </w:tabs>
    </w:pPr>
    <w:rPr>
      <w:lang w:val="ru-RU"/>
    </w:rPr>
  </w:style>
  <w:style w:type="paragraph" w:styleId="18">
    <w:name w:val="Схема документа1"/>
    <w:basedOn w:val="Normal"/>
    <w:qFormat/>
    <w:pPr>
      <w:shd w:fill="000080" w:val="clear"/>
    </w:pPr>
    <w:rPr>
      <w:rFonts w:ascii="Tahoma" w:hAnsi="Tahoma" w:cs="Tahoma"/>
      <w:lang w:val="ru-RU"/>
    </w:rPr>
  </w:style>
  <w:style w:type="paragraph" w:styleId="ConsPlusCell">
    <w:name w:val="ConsPlusCell"/>
    <w:qFormat/>
    <w:pPr>
      <w:widowControl w:val="false"/>
      <w:suppressAutoHyphens w:val="true"/>
      <w:autoSpaceDE w:val="false"/>
      <w:bidi w:val="0"/>
    </w:pPr>
    <w:rPr>
      <w:rFonts w:ascii="Arial" w:hAnsi="Arial" w:eastAsia="Times New Roman" w:cs="Arial"/>
      <w:color w:val="auto"/>
      <w:sz w:val="20"/>
      <w:szCs w:val="20"/>
      <w:lang w:val="ru-RU" w:eastAsia="zh-CN" w:bidi="ar-SA"/>
    </w:rPr>
  </w:style>
  <w:style w:type="paragraph" w:styleId="Style30">
    <w:name w:val="Нормальный (таблица)"/>
    <w:basedOn w:val="Normal"/>
    <w:next w:val="Normal"/>
    <w:qFormat/>
    <w:pPr>
      <w:autoSpaceDE w:val="false"/>
      <w:jc w:val="both"/>
    </w:pPr>
    <w:rPr>
      <w:rFonts w:ascii="Arial" w:hAnsi="Arial" w:cs="Arial"/>
      <w:sz w:val="24"/>
      <w:szCs w:val="24"/>
    </w:rPr>
  </w:style>
  <w:style w:type="paragraph" w:styleId="Style31">
    <w:name w:val="Прижатый влево"/>
    <w:basedOn w:val="Normal"/>
    <w:next w:val="Normal"/>
    <w:qFormat/>
    <w:pPr>
      <w:autoSpaceDE w:val="false"/>
    </w:pPr>
    <w:rPr>
      <w:rFonts w:ascii="Arial" w:hAnsi="Arial" w:cs="Arial"/>
      <w:sz w:val="24"/>
      <w:szCs w:val="24"/>
    </w:rPr>
  </w:style>
  <w:style w:type="paragraph" w:styleId="Text33">
    <w:name w:val="Text 33"/>
    <w:basedOn w:val="Normal"/>
    <w:qFormat/>
    <w:pPr>
      <w:spacing w:lineRule="atLeast" w:line="240" w:before="0" w:after="120"/>
      <w:jc w:val="both"/>
    </w:pPr>
    <w:rPr/>
  </w:style>
  <w:style w:type="paragraph" w:styleId="19">
    <w:name w:val="Цитата1"/>
    <w:basedOn w:val="Normal"/>
    <w:qFormat/>
    <w:pPr>
      <w:shd w:fill="FFFFFF" w:val="clear"/>
      <w:spacing w:lineRule="exact" w:line="278" w:before="214" w:after="0"/>
      <w:ind w:hanging="0" w:start="28" w:end="20"/>
      <w:jc w:val="both"/>
    </w:pPr>
    <w:rPr>
      <w:i/>
      <w:color w:val="000000"/>
      <w:spacing w:val="10"/>
      <w:sz w:val="22"/>
    </w:rPr>
  </w:style>
  <w:style w:type="paragraph" w:styleId="311">
    <w:name w:val="Основной текст 31"/>
    <w:basedOn w:val="Normal"/>
    <w:qFormat/>
    <w:pPr>
      <w:spacing w:before="0" w:after="120"/>
    </w:pPr>
    <w:rPr>
      <w:sz w:val="16"/>
      <w:szCs w:val="16"/>
      <w:lang w:val="ru-RU"/>
    </w:rPr>
  </w:style>
  <w:style w:type="paragraph" w:styleId="Tabletext">
    <w:name w:val="Tabletext"/>
    <w:basedOn w:val="Text33"/>
    <w:qFormat/>
    <w:pPr>
      <w:spacing w:lineRule="auto" w:line="240" w:before="0" w:after="0"/>
    </w:pPr>
    <w:rPr>
      <w:sz w:val="18"/>
      <w:szCs w:val="18"/>
      <w:lang w:val="ru-RU"/>
    </w:rPr>
  </w:style>
  <w:style w:type="paragraph" w:styleId="ABC-paragrahinNotes">
    <w:name w:val="ABC - paragrah in Notes"/>
    <w:qFormat/>
    <w:pPr>
      <w:widowControl/>
      <w:suppressAutoHyphens w:val="true"/>
      <w:bidi w:val="0"/>
      <w:spacing w:before="0" w:after="240"/>
      <w:jc w:val="both"/>
    </w:pPr>
    <w:rPr>
      <w:rFonts w:ascii="Times New Roman" w:hAnsi="Times New Roman" w:eastAsia="Times New Roman" w:cs="Times New Roman"/>
      <w:color w:val="auto"/>
      <w:sz w:val="20"/>
      <w:szCs w:val="20"/>
      <w:lang w:val="ru-RU" w:eastAsia="zh-CN" w:bidi="ar-SA"/>
    </w:rPr>
  </w:style>
  <w:style w:type="paragraph" w:styleId="head2">
    <w:name w:val="head2"/>
    <w:basedOn w:val="Normal"/>
    <w:qFormat/>
    <w:pPr>
      <w:widowControl w:val="false"/>
      <w:numPr>
        <w:ilvl w:val="0"/>
        <w:numId w:val="2"/>
      </w:numPr>
      <w:jc w:val="both"/>
    </w:pPr>
    <w:rPr>
      <w:b/>
      <w:lang w:val="ru-RU"/>
    </w:rPr>
  </w:style>
  <w:style w:type="paragraph" w:styleId="Level3">
    <w:name w:val="Level3"/>
    <w:basedOn w:val="Normal"/>
    <w:qFormat/>
    <w:pPr>
      <w:tabs>
        <w:tab w:val="clear" w:pos="708"/>
        <w:tab w:val="left" w:pos="227" w:leader="none"/>
        <w:tab w:val="left" w:pos="454" w:leader="none"/>
        <w:tab w:val="left" w:pos="680" w:leader="none"/>
        <w:tab w:val="left" w:pos="907" w:leader="none"/>
        <w:tab w:val="left" w:pos="1644" w:leader="none"/>
        <w:tab w:val="left" w:pos="1871" w:leader="none"/>
        <w:tab w:val="left" w:pos="2580" w:leader="none"/>
        <w:tab w:val="left" w:pos="2807" w:leader="none"/>
        <w:tab w:val="left" w:pos="3515" w:leader="none"/>
        <w:tab w:val="left" w:pos="3742" w:leader="none"/>
        <w:tab w:val="left" w:pos="4451" w:leader="none"/>
        <w:tab w:val="left" w:pos="4678" w:leader="none"/>
        <w:tab w:val="left" w:pos="5387" w:leader="none"/>
        <w:tab w:val="left" w:pos="5613" w:leader="none"/>
        <w:tab w:val="left" w:pos="6322" w:leader="none"/>
        <w:tab w:val="left" w:pos="6549" w:leader="none"/>
      </w:tabs>
      <w:spacing w:lineRule="atLeast" w:line="240" w:before="0" w:after="120"/>
      <w:jc w:val="both"/>
      <w:outlineLvl w:val="2"/>
    </w:pPr>
    <w:rPr>
      <w:b/>
      <w:lang w:val="ru-RU"/>
    </w:rPr>
  </w:style>
  <w:style w:type="paragraph" w:styleId="ConsPlusNormal">
    <w:name w:val="ConsPlusNormal"/>
    <w:qFormat/>
    <w:pPr>
      <w:widowControl/>
      <w:suppressAutoHyphens w:val="true"/>
      <w:autoSpaceDE w:val="false"/>
      <w:bidi w:val="0"/>
    </w:pPr>
    <w:rPr>
      <w:rFonts w:ascii="Times New Roman" w:hAnsi="Times New Roman" w:eastAsia="Cambria" w:cs="Times New Roman"/>
      <w:color w:val="auto"/>
      <w:sz w:val="24"/>
      <w:szCs w:val="24"/>
      <w:lang w:val="ru-RU" w:eastAsia="zh-CN" w:bidi="ar-SA"/>
    </w:rPr>
  </w:style>
  <w:style w:type="paragraph" w:styleId="Style32">
    <w:name w:val="Термин"/>
    <w:basedOn w:val="Normal"/>
    <w:next w:val="Style25"/>
    <w:qFormat/>
    <w:pPr>
      <w:snapToGrid w:val="false"/>
    </w:pPr>
    <w:rPr>
      <w:sz w:val="24"/>
    </w:rPr>
  </w:style>
  <w:style w:type="paragraph" w:styleId="Style33">
    <w:name w:val="подпункты"/>
    <w:basedOn w:val="BodyText"/>
    <w:qFormat/>
    <w:pPr>
      <w:numPr>
        <w:ilvl w:val="0"/>
        <w:numId w:val="3"/>
      </w:numPr>
      <w:spacing w:before="120" w:after="0"/>
      <w:jc w:val="both"/>
    </w:pPr>
    <w:rPr>
      <w:sz w:val="24"/>
      <w:szCs w:val="24"/>
      <w:lang w:val="ru-RU"/>
    </w:rPr>
  </w:style>
  <w:style w:type="paragraph" w:styleId="213">
    <w:name w:val="Основной текст с отступом 21"/>
    <w:basedOn w:val="Normal"/>
    <w:qFormat/>
    <w:pPr>
      <w:overflowPunct w:val="false"/>
      <w:autoSpaceDE w:val="false"/>
      <w:ind w:firstLine="540" w:start="0" w:end="0"/>
      <w:jc w:val="both"/>
      <w:textAlignment w:val="baseline"/>
    </w:pPr>
    <w:rPr>
      <w:sz w:val="28"/>
    </w:rPr>
  </w:style>
  <w:style w:type="paragraph" w:styleId="Style34">
    <w:name w:val="Содержимое таблицы"/>
    <w:basedOn w:val="Normal"/>
    <w:qFormat/>
    <w:pPr>
      <w:widowControl w:val="false"/>
      <w:suppressLineNumbers/>
    </w:pPr>
    <w:rPr/>
  </w:style>
  <w:style w:type="paragraph" w:styleId="Style35">
    <w:name w:val="Заголовок таблицы"/>
    <w:basedOn w:val="Style34"/>
    <w:qFormat/>
    <w:pPr>
      <w:suppressLineNumbers/>
      <w:jc w:val="center"/>
    </w:pPr>
    <w:rPr>
      <w:b/>
      <w:bCs/>
    </w:rPr>
  </w:style>
  <w:style w:type="paragraph" w:styleId="231">
    <w:name w:val="Основной текст с отступом 23"/>
    <w:basedOn w:val="Normal"/>
    <w:qFormat/>
    <w:pPr>
      <w:spacing w:lineRule="auto" w:line="480" w:before="0" w:after="120"/>
      <w:ind w:hanging="0" w:start="283" w:end="0"/>
    </w:pPr>
    <w:rPr>
      <w:lang w:val="ru-RU"/>
    </w:rPr>
  </w:style>
  <w:style w:type="paragraph" w:styleId="SubHeading">
    <w:name w:val="Sub Heading"/>
    <w:qFormat/>
    <w:pPr>
      <w:widowControl w:val="false"/>
      <w:suppressAutoHyphens w:val="true"/>
      <w:autoSpaceDE w:val="false"/>
      <w:bidi w:val="0"/>
      <w:spacing w:before="240" w:after="40"/>
    </w:pPr>
    <w:rPr>
      <w:rFonts w:ascii="Times New Roman" w:hAnsi="Times New Roman" w:eastAsia="Times New Roman" w:cs="Times New Roman"/>
      <w:color w:val="auto"/>
      <w:sz w:val="20"/>
      <w:szCs w:val="20"/>
      <w:lang w:val="ru-RU"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377253&amp;dst=100075" TargetMode="External"/><Relationship Id="rId3" Type="http://schemas.openxmlformats.org/officeDocument/2006/relationships/hyperlink" Target="consultantplus://offline/ref=BE0B2F1077FE80E964DB6001196AAFEE835C22FAE7866B994BBBE3EF550F75B54BFDA4D321AE5979AEM8I"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ФИРМА_x0000__x0000_</Template>
  <TotalTime>30</TotalTime>
  <Application>LibreOffice/24.8.7.2$Linux_X86_64 LibreOffice_project/480$Build-2</Application>
  <AppVersion>15.0000</AppVersion>
  <Pages>14</Pages>
  <Words>4314</Words>
  <Characters>28841</Characters>
  <CharactersWithSpaces>33311</CharactersWithSpaces>
  <Paragraphs>572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2026-03-24T15:49:00Z</dcterms:created>
  <dc:creator>anton</dc:creator>
  <dc:description/>
  <cp:keywords/>
  <dc:language>ru-RU</dc:language>
  <cp:lastModifiedBy>Morozova_E</cp:lastModifiedBy>
  <cp:lastPrinted>2026-03-25T09:45:00Z</cp:lastPrinted>
  <dcterms:modified xsi:type="dcterms:W3CDTF">2026-03-25T09:45:00Z</dcterms:modified>
  <cp:revision>7</cp:revision>
  <dc:subject/>
  <dc:title>Акционерное общество</dc:title>
</cp:coreProperties>
</file>